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A54" w:rsidRDefault="00FA2AC3">
      <w:pPr>
        <w:spacing w:after="47" w:line="242" w:lineRule="auto"/>
        <w:ind w:left="1304" w:right="941" w:firstLine="987"/>
        <w:jc w:val="left"/>
      </w:pPr>
      <w:bookmarkStart w:id="0" w:name="_GoBack"/>
      <w:bookmarkEnd w:id="0"/>
      <w:r>
        <w:rPr>
          <w:sz w:val="20"/>
        </w:rPr>
        <w:t>Министерство здравоохранения Российской Федерации государственное бюджетное образовательное учреждение высшего образования</w:t>
      </w:r>
    </w:p>
    <w:p w:rsidR="00D32A54" w:rsidRDefault="00FA2AC3">
      <w:pPr>
        <w:spacing w:after="588" w:line="218" w:lineRule="auto"/>
        <w:ind w:left="2391" w:right="0" w:hanging="1599"/>
        <w:jc w:val="left"/>
      </w:pPr>
      <w:r>
        <w:rPr>
          <w:sz w:val="26"/>
        </w:rPr>
        <w:t>ПЕРВЫЙ МОСКОВСКИЙ ГОСУДАРСТВЕННЫЙ МЕДИЦИНСКИЙ УНИВЕРСИТЕТ имени И.М.СЕЧЕНОВА</w:t>
      </w:r>
    </w:p>
    <w:p w:rsidR="00FA2AC3" w:rsidRDefault="00FA2AC3" w:rsidP="00FA2AC3">
      <w:pPr>
        <w:pStyle w:val="1"/>
        <w:tabs>
          <w:tab w:val="center" w:pos="4920"/>
          <w:tab w:val="center" w:pos="6180"/>
        </w:tabs>
        <w:spacing w:after="0" w:line="259" w:lineRule="auto"/>
        <w:ind w:left="0" w:firstLine="0"/>
        <w:jc w:val="left"/>
      </w:pPr>
      <w:r>
        <w:tab/>
      </w:r>
    </w:p>
    <w:p w:rsidR="00FA2AC3" w:rsidRPr="00FA2AC3" w:rsidRDefault="00FA2AC3" w:rsidP="00FA2AC3">
      <w:pPr>
        <w:spacing w:after="254" w:line="218" w:lineRule="auto"/>
        <w:ind w:left="1817" w:right="0" w:hanging="1818"/>
        <w:jc w:val="center"/>
        <w:rPr>
          <w:b/>
          <w:sz w:val="28"/>
          <w:szCs w:val="28"/>
        </w:rPr>
      </w:pPr>
      <w:r w:rsidRPr="00FA2AC3">
        <w:rPr>
          <w:b/>
          <w:sz w:val="28"/>
          <w:szCs w:val="28"/>
        </w:rPr>
        <w:t>Положение</w:t>
      </w:r>
    </w:p>
    <w:p w:rsidR="00D32A54" w:rsidRPr="00FA2AC3" w:rsidRDefault="00FA2AC3" w:rsidP="00FA2AC3">
      <w:pPr>
        <w:spacing w:after="254" w:line="218" w:lineRule="auto"/>
        <w:ind w:left="1276" w:right="0" w:hanging="181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proofErr w:type="gramStart"/>
      <w:r w:rsidRPr="00FA2AC3">
        <w:rPr>
          <w:b/>
          <w:sz w:val="28"/>
          <w:szCs w:val="28"/>
        </w:rPr>
        <w:t xml:space="preserve">о программе университетских поощрительных стимулирования </w:t>
      </w:r>
      <w:r>
        <w:rPr>
          <w:b/>
          <w:sz w:val="28"/>
          <w:szCs w:val="28"/>
        </w:rPr>
        <w:t>участия</w:t>
      </w:r>
      <w:r>
        <w:rPr>
          <w:b/>
          <w:sz w:val="28"/>
          <w:szCs w:val="28"/>
        </w:rPr>
        <w:br/>
      </w:r>
      <w:r w:rsidRPr="00FA2AC3">
        <w:rPr>
          <w:b/>
          <w:sz w:val="28"/>
          <w:szCs w:val="28"/>
        </w:rPr>
        <w:t>обучающихся в научно-исследовательских проектах</w:t>
      </w:r>
      <w:proofErr w:type="gramEnd"/>
    </w:p>
    <w:p w:rsidR="00D32A54" w:rsidRDefault="00FA2AC3">
      <w:pPr>
        <w:numPr>
          <w:ilvl w:val="0"/>
          <w:numId w:val="1"/>
        </w:numPr>
        <w:ind w:right="0" w:firstLine="739"/>
      </w:pPr>
      <w:proofErr w:type="gramStart"/>
      <w:r>
        <w:t xml:space="preserve">Положение о программе университетских поощрительных грантов для стимулирования участия обучающихся в научно-исследовательских проектах является локальным нормативным актом государственного бюджетного образовательного учреждения высшего профессионального образования Первый Московский государственный медицинский университет имени </w:t>
      </w:r>
      <w:proofErr w:type="spellStart"/>
      <w:r>
        <w:t>И.М.Сеченова</w:t>
      </w:r>
      <w:proofErr w:type="spellEnd"/>
      <w:r>
        <w:t xml:space="preserve"> Министерства здравоохранения Российской Федерации, регламентирующим порядок реализации конкурсной программы </w:t>
      </w:r>
      <w:proofErr w:type="spellStart"/>
      <w:r>
        <w:t>грантовой</w:t>
      </w:r>
      <w:proofErr w:type="spellEnd"/>
      <w:r>
        <w:t xml:space="preserve"> поддержки обучающихся (далее соответственно </w:t>
      </w:r>
      <w:r>
        <w:rPr>
          <w:noProof/>
        </w:rPr>
        <w:drawing>
          <wp:inline distT="0" distB="0" distL="0" distR="0">
            <wp:extent cx="86902" cy="18293"/>
            <wp:effectExtent l="0" t="0" r="0" b="0"/>
            <wp:docPr id="2031" name="Picture 20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" name="Picture 20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90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Положение, Университет, программа университетских поощрительных грантов)</w:t>
      </w:r>
      <w:proofErr w:type="gramEnd"/>
    </w:p>
    <w:p w:rsidR="00D32A54" w:rsidRDefault="00FA2AC3">
      <w:pPr>
        <w:ind w:left="20" w:right="0"/>
      </w:pPr>
      <w:proofErr w:type="gramStart"/>
      <w:r>
        <w:t>Настоящее Положение разработано в соответствии с Федеральным законом от 29 декабря 2012 г. №27З-ФЗ «Об образовании в Российской Федерации», нормативными правовыми актами Правительства Российской Федерации, федеральных органов исполнительной власти, осуществляющих функции по государственному управлению и нормативно-правовому регулированию в сфере образования и в сфере здравоохранения, Уставом Университета, а также локальными нормативными актами Университета (далее соответственно — Закон, Устав, локальный нормативный акт).</w:t>
      </w:r>
      <w:proofErr w:type="gramEnd"/>
    </w:p>
    <w:p w:rsidR="00D32A54" w:rsidRDefault="00FA2AC3">
      <w:pPr>
        <w:numPr>
          <w:ilvl w:val="0"/>
          <w:numId w:val="1"/>
        </w:numPr>
        <w:ind w:right="0" w:firstLine="739"/>
      </w:pPr>
      <w:proofErr w:type="gramStart"/>
      <w:r>
        <w:t xml:space="preserve">Программа университетских поощрительных грантов направлена на стимулирование участия обучающихся в научно-исследовательских проектах по приоритетным направлениям персонализированной и трансляционной медицины, в том числе повышение количества совместных с сотрудниками Университета публикаций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</w:t>
      </w:r>
      <w:proofErr w:type="spellStart"/>
      <w:r>
        <w:t>Scopus</w:t>
      </w:r>
      <w:proofErr w:type="spellEnd"/>
      <w:r>
        <w:t>, путем поддержки и поощрения лиц, проявивших выдающиеся способности, участвующих в научно-исследовательских проектах, перечень которых устанавливается в соответствии с настоящим Положением, Тили имеющих совместные</w:t>
      </w:r>
      <w:proofErr w:type="gramEnd"/>
      <w:r>
        <w:t xml:space="preserve"> с сотрудниками Университета публикации в базах данных 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 xml:space="preserve"> и </w:t>
      </w:r>
      <w:proofErr w:type="spellStart"/>
      <w:r>
        <w:t>Scopus</w:t>
      </w:r>
      <w:proofErr w:type="spellEnd"/>
      <w:r>
        <w:t xml:space="preserve">, путем выплаты специальных денежных грантов (далее соответственно </w:t>
      </w:r>
      <w:r>
        <w:rPr>
          <w:noProof/>
        </w:rPr>
        <w:drawing>
          <wp:inline distT="0" distB="0" distL="0" distR="0">
            <wp:extent cx="86903" cy="13720"/>
            <wp:effectExtent l="0" t="0" r="0" b="0"/>
            <wp:docPr id="2032" name="Picture 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Picture 203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903" cy="1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обучающиеся, поощрительный грант).</w:t>
      </w:r>
    </w:p>
    <w:p w:rsidR="00D32A54" w:rsidRDefault="00FA2AC3">
      <w:pPr>
        <w:ind w:left="20" w:right="0"/>
      </w:pPr>
      <w:r>
        <w:t>З. Программа университетских поощрительных грантов реализуется на конкурсной основе (далее — конкурс) в рамках учебного года в соответствии с приказом Университета, устанавливающим:</w:t>
      </w:r>
    </w:p>
    <w:p w:rsidR="00D32A54" w:rsidRDefault="00FA2AC3">
      <w:pPr>
        <w:ind w:left="20" w:right="0"/>
      </w:pPr>
      <w:r>
        <w:t>З. 1. перечень индивидуальных достижений, учитываемый в конкурсе на получение университетского поощрительного гранта с указанием источника получения сведений, как правило, представления документа, содержащего сведения об индивидуальном достижении (далее соответственно перечень индивидуальных достижений, индивидуальное достижение),</w:t>
      </w:r>
    </w:p>
    <w:p w:rsidR="00D32A54" w:rsidRDefault="00FA2AC3">
      <w:pPr>
        <w:numPr>
          <w:ilvl w:val="1"/>
          <w:numId w:val="2"/>
        </w:numPr>
        <w:spacing w:after="0" w:line="265" w:lineRule="auto"/>
        <w:ind w:right="0"/>
      </w:pPr>
      <w:r>
        <w:t>шкалу оценивания индивидуальных достижений, включенных в перечень индивидуальных достижений;</w:t>
      </w:r>
    </w:p>
    <w:p w:rsidR="00D32A54" w:rsidRDefault="00FA2AC3">
      <w:pPr>
        <w:numPr>
          <w:ilvl w:val="1"/>
          <w:numId w:val="2"/>
        </w:numPr>
        <w:ind w:right="0"/>
      </w:pPr>
      <w:r>
        <w:t>источники финансирования программы университетских поощрительных грантов;</w:t>
      </w:r>
    </w:p>
    <w:p w:rsidR="00D32A54" w:rsidRDefault="00FA2AC3">
      <w:pPr>
        <w:numPr>
          <w:ilvl w:val="1"/>
          <w:numId w:val="2"/>
        </w:numPr>
        <w:ind w:right="0"/>
      </w:pPr>
      <w:r>
        <w:t>квоты университетских поощрительных грантов на соответствующий учебный год (далее - квота);</w:t>
      </w:r>
    </w:p>
    <w:p w:rsidR="00D32A54" w:rsidRDefault="00FA2AC3">
      <w:pPr>
        <w:numPr>
          <w:ilvl w:val="1"/>
          <w:numId w:val="2"/>
        </w:numPr>
        <w:ind w:right="0"/>
      </w:pPr>
      <w:r>
        <w:t>размер университетских поощрительных грантов;</w:t>
      </w:r>
    </w:p>
    <w:p w:rsidR="00D32A54" w:rsidRDefault="00FA2AC3">
      <w:pPr>
        <w:numPr>
          <w:ilvl w:val="1"/>
          <w:numId w:val="2"/>
        </w:numPr>
        <w:ind w:right="0"/>
      </w:pPr>
      <w:r>
        <w:lastRenderedPageBreak/>
        <w:t>сроки приема заявок претендентов на участие в программе университетских поощрительных грантов</w:t>
      </w:r>
    </w:p>
    <w:p w:rsidR="00D32A54" w:rsidRDefault="00FA2AC3">
      <w:pPr>
        <w:numPr>
          <w:ilvl w:val="0"/>
          <w:numId w:val="3"/>
        </w:numPr>
        <w:ind w:right="0"/>
      </w:pPr>
      <w:r>
        <w:t>Отбор претендентов на получение университетского поощрительного гранта осуществляется по результатам конкурса на основании поданных претендентами заявок и иных документов, предусмотренных настоящим Положением (при наличии).</w:t>
      </w:r>
    </w:p>
    <w:p w:rsidR="00D32A54" w:rsidRDefault="00FA2AC3">
      <w:pPr>
        <w:numPr>
          <w:ilvl w:val="0"/>
          <w:numId w:val="3"/>
        </w:numPr>
        <w:ind w:right="0"/>
      </w:pPr>
      <w:r>
        <w:t>Претенденты вправе представить сведения о своих индивидуальных достижениях, подтверждающих выдающиеся способности обучающегося, результаты которых учитываются в конкурсе на получение университетского поощрительного гранта (далее — индивидуальные достижения).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претендентов.</w:t>
      </w:r>
    </w:p>
    <w:p w:rsidR="00D32A54" w:rsidRDefault="00FA2AC3">
      <w:pPr>
        <w:numPr>
          <w:ilvl w:val="0"/>
          <w:numId w:val="3"/>
        </w:numPr>
        <w:ind w:right="0"/>
      </w:pPr>
      <w:r>
        <w:t>Организационное обеспечение отбора претендентов осуществляется конкурсной комиссией программы университетских поощрительных грантов, состав которой утверждается приказом Университета (далее — комиссия).</w:t>
      </w:r>
    </w:p>
    <w:p w:rsidR="00D32A54" w:rsidRDefault="00FA2AC3">
      <w:pPr>
        <w:ind w:left="20" w:right="0"/>
      </w:pPr>
      <w:r>
        <w:t>Заседание комиссии считается правомочным при участии в заседании не менее двух третей числа ее членов.</w:t>
      </w:r>
    </w:p>
    <w:p w:rsidR="00D32A54" w:rsidRDefault="00FA2AC3">
      <w:pPr>
        <w:ind w:left="738" w:right="0" w:firstLine="0"/>
      </w:pPr>
      <w:r>
        <w:t>Комиссия принимает решения путем открытого голосования.</w:t>
      </w:r>
    </w:p>
    <w:p w:rsidR="00D32A54" w:rsidRDefault="00FA2AC3">
      <w:pPr>
        <w:ind w:left="20" w:right="0"/>
      </w:pPr>
      <w:r>
        <w:t>Решения комиссии принимаются большинством голосов от числа присутствующих на заседании членов комиссии. При равенстве голосов решающим является голос председателя комиссии.</w:t>
      </w:r>
    </w:p>
    <w:p w:rsidR="00D32A54" w:rsidRDefault="00FA2AC3">
      <w:pPr>
        <w:ind w:left="20" w:right="0"/>
      </w:pPr>
      <w:r>
        <w:t>Все решения комиссии оформляются протоколом, в котором указываются: дата, место и время заседания комиссии; сведения о лицах, присутствующих на заседании комиссии; повестка заседания комиссии; вопросы, вынесенные на рассмотрение комиссии, а также результаты голосования по ним; принятое комиссией решение.</w:t>
      </w:r>
    </w:p>
    <w:p w:rsidR="00D32A54" w:rsidRDefault="00FA2AC3">
      <w:pPr>
        <w:ind w:left="20" w:right="0"/>
      </w:pPr>
      <w:r>
        <w:t>Протоколы заседаний комиссии подписываются всеми принявшими участие в заседании членами комиссии в день заседания комиссии.</w:t>
      </w:r>
    </w:p>
    <w:p w:rsidR="00D32A54" w:rsidRDefault="00FA2AC3">
      <w:pPr>
        <w:ind w:left="20" w:right="0"/>
      </w:pPr>
      <w:r>
        <w:t>Техническое обеспечение деятельности комиссии осуществляет уполномоченное структурное подразделение Университета.</w:t>
      </w:r>
    </w:p>
    <w:p w:rsidR="00D32A54" w:rsidRDefault="00FA2AC3">
      <w:pPr>
        <w:numPr>
          <w:ilvl w:val="0"/>
          <w:numId w:val="4"/>
        </w:numPr>
        <w:ind w:right="0"/>
      </w:pPr>
      <w:r>
        <w:t>По результатам приема заявок и иных документов, предусмотренных настоящим Положением, комиссия формирует список претендентов.</w:t>
      </w:r>
    </w:p>
    <w:p w:rsidR="00D32A54" w:rsidRDefault="00FA2AC3">
      <w:pPr>
        <w:ind w:left="20" w:right="0"/>
      </w:pPr>
      <w:r>
        <w:t>Список претендентов по результатам представленных документов ранжируется по убыванию суммы конкурсных баллов.</w:t>
      </w:r>
    </w:p>
    <w:p w:rsidR="00D32A54" w:rsidRDefault="00FA2AC3">
      <w:pPr>
        <w:ind w:left="20" w:right="0"/>
      </w:pPr>
      <w:r>
        <w:t>Сумма конкурсных баллов исчисляется как сумма баллов в соответствии с установленными требованиями и за индивидуальные достижения.</w:t>
      </w:r>
    </w:p>
    <w:p w:rsidR="00D32A54" w:rsidRDefault="00FA2AC3">
      <w:pPr>
        <w:numPr>
          <w:ilvl w:val="0"/>
          <w:numId w:val="4"/>
        </w:numPr>
        <w:ind w:right="0"/>
      </w:pPr>
      <w:r>
        <w:t>Университетский поощрительный грант назначается приказом Университета.</w:t>
      </w:r>
    </w:p>
    <w:p w:rsidR="00D32A54" w:rsidRDefault="00FA2AC3">
      <w:pPr>
        <w:numPr>
          <w:ilvl w:val="0"/>
          <w:numId w:val="4"/>
        </w:numPr>
        <w:ind w:right="0"/>
      </w:pPr>
      <w:r>
        <w:t>Выплата университетского поощрительного гранта производится при поступлении в Университет финансовых сре</w:t>
      </w:r>
      <w:proofErr w:type="gramStart"/>
      <w:r>
        <w:t>дств в с</w:t>
      </w:r>
      <w:proofErr w:type="gramEnd"/>
      <w:r>
        <w:t>оответствии с установленным Университетом источником финансирования.</w:t>
      </w:r>
    </w:p>
    <w:p w:rsidR="00D32A54" w:rsidRDefault="00FA2AC3">
      <w:pPr>
        <w:numPr>
          <w:ilvl w:val="0"/>
          <w:numId w:val="4"/>
        </w:numPr>
        <w:ind w:right="0"/>
      </w:pPr>
      <w:r>
        <w:t xml:space="preserve">При наличии свободной квоты в течение учебного года Университет вправе объявить дополнительный конкурс в порядке, предусмотренном </w:t>
      </w:r>
      <w:proofErr w:type="spellStart"/>
      <w:r>
        <w:t>п.З</w:t>
      </w:r>
      <w:proofErr w:type="spellEnd"/>
      <w:r>
        <w:t>. настоящего Положения.</w:t>
      </w:r>
    </w:p>
    <w:sectPr w:rsidR="00D32A54">
      <w:pgSz w:w="11906" w:h="16838"/>
      <w:pgMar w:top="1037" w:right="860" w:bottom="1152" w:left="156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B4F97"/>
    <w:multiLevelType w:val="hybridMultilevel"/>
    <w:tmpl w:val="3DBEFEEC"/>
    <w:lvl w:ilvl="0" w:tplc="2FA6474C">
      <w:start w:val="7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354095C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B16321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E6A7116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0E984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1E0EB4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BC46B8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D68E39C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8AE7920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C8961CA"/>
    <w:multiLevelType w:val="hybridMultilevel"/>
    <w:tmpl w:val="8904F804"/>
    <w:lvl w:ilvl="0" w:tplc="47026FE6">
      <w:start w:val="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AF84E08">
      <w:start w:val="1"/>
      <w:numFmt w:val="lowerLetter"/>
      <w:lvlText w:val="%2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61069FE">
      <w:start w:val="1"/>
      <w:numFmt w:val="lowerRoman"/>
      <w:lvlText w:val="%3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B84A560">
      <w:start w:val="1"/>
      <w:numFmt w:val="decimal"/>
      <w:lvlText w:val="%4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D26911E">
      <w:start w:val="1"/>
      <w:numFmt w:val="lowerLetter"/>
      <w:lvlText w:val="%5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ED04ABA">
      <w:start w:val="1"/>
      <w:numFmt w:val="lowerRoman"/>
      <w:lvlText w:val="%6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F6A15D4">
      <w:start w:val="1"/>
      <w:numFmt w:val="decimal"/>
      <w:lvlText w:val="%7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F4090CC">
      <w:start w:val="1"/>
      <w:numFmt w:val="lowerLetter"/>
      <w:lvlText w:val="%8"/>
      <w:lvlJc w:val="left"/>
      <w:pPr>
        <w:ind w:left="6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97C872A">
      <w:start w:val="1"/>
      <w:numFmt w:val="lowerRoman"/>
      <w:lvlText w:val="%9"/>
      <w:lvlJc w:val="left"/>
      <w:pPr>
        <w:ind w:left="6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02C16D7"/>
    <w:multiLevelType w:val="hybridMultilevel"/>
    <w:tmpl w:val="C2A485C0"/>
    <w:lvl w:ilvl="0" w:tplc="9656D7F6">
      <w:start w:val="4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50B254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3EED5C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583522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AD24008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0E9D18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4C2D314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A4256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8ACD998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6FF62CC"/>
    <w:multiLevelType w:val="multilevel"/>
    <w:tmpl w:val="DEDC210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A54"/>
    <w:rsid w:val="00411ED0"/>
    <w:rsid w:val="00D32A54"/>
    <w:rsid w:val="00FA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39" w:lineRule="auto"/>
      <w:ind w:left="2708" w:right="213" w:firstLine="70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6" w:line="220" w:lineRule="auto"/>
      <w:ind w:left="2391" w:hanging="159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D0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" w:line="239" w:lineRule="auto"/>
      <w:ind w:left="2708" w:right="213" w:firstLine="707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86" w:line="220" w:lineRule="auto"/>
      <w:ind w:left="2391" w:hanging="159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11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ED0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Irbis</dc:creator>
  <cp:lastModifiedBy>RePack by Diakov</cp:lastModifiedBy>
  <cp:revision>2</cp:revision>
  <dcterms:created xsi:type="dcterms:W3CDTF">2019-02-18T15:53:00Z</dcterms:created>
  <dcterms:modified xsi:type="dcterms:W3CDTF">2019-02-18T15:53:00Z</dcterms:modified>
</cp:coreProperties>
</file>