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AF6EB" w14:textId="77777777" w:rsidR="00220301" w:rsidRPr="00CD6A81" w:rsidRDefault="00220301" w:rsidP="00CD6A8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b/>
          <w:sz w:val="28"/>
          <w:szCs w:val="28"/>
        </w:rPr>
        <w:t>Ответы на ситуационные задачи</w:t>
      </w:r>
    </w:p>
    <w:p w14:paraId="471F61B9" w14:textId="77777777" w:rsidR="00220301" w:rsidRPr="00CD6A81" w:rsidRDefault="00220301" w:rsidP="00CD6A8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F4D392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hAnsi="Times New Roman" w:cs="Times New Roman"/>
          <w:sz w:val="28"/>
          <w:szCs w:val="28"/>
        </w:rPr>
        <w:t>Ответы на ситуационную задачу №1</w:t>
      </w:r>
    </w:p>
    <w:p w14:paraId="606547F4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63329" w14:textId="77777777" w:rsidR="00220301" w:rsidRPr="00CD6A81" w:rsidRDefault="00220301" w:rsidP="00CD6A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Морбидное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ожирение, осложненное неалкогольным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стеатогепатитом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первичной стадии.</w:t>
      </w:r>
      <w:r w:rsidRPr="00CD6A81">
        <w:rPr>
          <w:rFonts w:ascii="Times New Roman" w:hAnsi="Times New Roman" w:cs="Times New Roman"/>
          <w:sz w:val="28"/>
          <w:szCs w:val="28"/>
        </w:rPr>
        <w:t xml:space="preserve"> </w:t>
      </w:r>
      <w:r w:rsidRPr="00CD6A81">
        <w:rPr>
          <w:rFonts w:ascii="Times New Roman" w:eastAsia="Times New Roman" w:hAnsi="Times New Roman" w:cs="Times New Roman"/>
          <w:sz w:val="28"/>
          <w:szCs w:val="28"/>
        </w:rPr>
        <w:t>Сопутствующие заболевания: глаукома, гипертоническая болезнь, болезнь Крона.</w:t>
      </w:r>
    </w:p>
    <w:p w14:paraId="3F65655D" w14:textId="77777777" w:rsidR="00220301" w:rsidRPr="00CD6A81" w:rsidRDefault="00220301" w:rsidP="00CD6A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Диагноз «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морбидное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ожирение», осложнённое неалкогольным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стеатогепатитом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поставлен на основании бессимптомного течения заболевания с незначительными изменениями функции печени, согласно лабораторным анализам (незначительное увеличение уровней АЛТ, АСТ, щелочной фосфатазы), а также сопутствующих заболеваний.</w:t>
      </w:r>
    </w:p>
    <w:p w14:paraId="2FEE86D7" w14:textId="77777777" w:rsidR="00220301" w:rsidRPr="00CD6A81" w:rsidRDefault="00220301" w:rsidP="00CD6A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Пациенту рекомендовано:</w:t>
      </w:r>
    </w:p>
    <w:p w14:paraId="6CB7A8B7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- анализ крови на антинуклеарные,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антигладкомышечные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антимитохондриальные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антитела (отрицательно), и церулоплазмин (высокий уровень);</w:t>
      </w:r>
    </w:p>
    <w:p w14:paraId="5CD060AD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- УЗИ органов брюшной полости (оценка состояния органов желудочно-кишечного тракта (ЖКТ), увеличение размеров печени;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гиперэхогенность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ткани печени на фоне жировой инфильтрации с затуханием сигнала);</w:t>
      </w:r>
    </w:p>
    <w:p w14:paraId="4119B1C7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- КТ органов брюшной полости (оценка состояния органов ЖКТ; снижение плотности паренхимы печени);</w:t>
      </w:r>
    </w:p>
    <w:p w14:paraId="11C5EC79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- биопсия печени для гистологического исследования (жировая дистрофия, клеточная воспалительная инфильтрация, формирование фиброза);</w:t>
      </w:r>
    </w:p>
    <w:p w14:paraId="710D94E0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- пункционная биопсия под УЗИ контролем;</w:t>
      </w:r>
    </w:p>
    <w:p w14:paraId="31155B0C" w14:textId="77777777" w:rsidR="00220301" w:rsidRPr="00CD6A81" w:rsidRDefault="00220301" w:rsidP="00CD6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- тест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Фибромакс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(для подтверждения наличия и определения стадии фиброза печени).</w:t>
      </w:r>
    </w:p>
    <w:p w14:paraId="1B52B700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4. Диета и физическая активность: при наличии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избыточнои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̆ массы тела необходимо добиваться ее плавного снижения первоначально – на 10% и не более чем на 0,5-1,0 кг в неделю. Быстрое похудание может привести к прогрессированию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стеатогепатита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и другим нежелательным явлениям, в то же время, снижение веса на 10% является облигатным условием для клинического значимого уменьшения и регресса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некровоспалительных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изменений в печени. Показаны умеренные аэробные нагрузки, например, ходьба в среднем темпе не менее 20 минут не реже 5 раз в неделю, плавание, езда на велосипеде. От бега следует воздержаться, пока не достигнуты нормальные показатели индекса массы тела (ИМТ). Физические упражнения, в частности плавание (5 часов в неделю), помогают избежать негативного влияния диеты с высоким содержанием фруктозы при невозможности придерживаться режима здорового питания. Выполнение регулярных адекватных физических упражнений приводит к улучшению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гистологическои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̆ картины в печени при неалкогольном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стеатогепатите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(НАСГ) даже без клинически значимого снижения веса, а также способствует уменьшению сывороточного уровня холестерина.</w:t>
      </w:r>
    </w:p>
    <w:p w14:paraId="4F433418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Отмена потенциально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гепатотоксичных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препаратов.</w:t>
      </w:r>
    </w:p>
    <w:p w14:paraId="6032664B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lastRenderedPageBreak/>
        <w:t>Медикаментозная терапия:</w:t>
      </w:r>
    </w:p>
    <w:p w14:paraId="088B2277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- омега-3, 6, 9-полиненасыщенные жирные кислоты (препаратами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первои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̆ линии для лечения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гипертриглицеридемии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у пациентов с НАСГ);</w:t>
      </w:r>
    </w:p>
    <w:p w14:paraId="5CB5F330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статины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(рекомендуется назначать с целью коррекции дислипидемии):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симвастатин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аторвастатин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в дозе 20-40 мг на ночь;</w:t>
      </w:r>
    </w:p>
    <w:p w14:paraId="4B3F6EF9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- витамин Е в дозе 800 мг/сутки улучшает гистологическую картину у пациентов с НАСГ;</w:t>
      </w:r>
    </w:p>
    <w:p w14:paraId="5B912DEF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- препараты, повышающие чувствительность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тканеи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>̆ к инсулину (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инсулиносенситайзеры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метформин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тиазолидиндионы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глитазоны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пиоглитазон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в дозе 30 мг/сутки обсуждается в качестве возможного препарата для лечения, морфологически доказанного НАСГ;</w:t>
      </w:r>
    </w:p>
    <w:p w14:paraId="6B9BFDBE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урсодезоксихолевая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кислота в дозе 30 мг/кг массы тела в день с постепенным снижением дозировки;</w:t>
      </w:r>
    </w:p>
    <w:p w14:paraId="5A624CA5" w14:textId="77777777" w:rsidR="00220301" w:rsidRPr="00CD6A81" w:rsidRDefault="00220301" w:rsidP="00CD6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эссенциальные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фосфолипиды: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Эссенциале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Форте® Н 1800 мг в сутки по 2 капсулы 3 раза в день до 12 недель длительности приема.</w:t>
      </w:r>
    </w:p>
    <w:p w14:paraId="08234211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hAnsi="Times New Roman" w:cs="Times New Roman"/>
          <w:sz w:val="28"/>
          <w:szCs w:val="28"/>
        </w:rPr>
        <w:t>5.</w:t>
      </w: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Форма 1. Жировая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макровезикулярная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печень с минимальными воспалительными изменениями с прогрессирующим течением.</w:t>
      </w:r>
    </w:p>
    <w:p w14:paraId="4BAA3DC6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Форма 2. Жировая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макровезикулярная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жировая печень с умеренным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центролобулярными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смешанными воспалительными инфильтратами с умеренным фиброзом в третьей зоне и медленным прогрессированием заболевания (в редких случаях развивается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стеатогепатогенный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цирроз печени).</w:t>
      </w:r>
    </w:p>
    <w:p w14:paraId="5D10A63A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Форма 3. Жировая макро-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микровезикулярная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печень с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субмассивными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некрозами со смешанными воспалительными инфильтратами – подострый тип неалкогольного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стеатогепатита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>, при котором возможно развитие печеночной недостаточности и летального исхода в течение нескольких месяцев.</w:t>
      </w:r>
    </w:p>
    <w:p w14:paraId="62C5DBFB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950F03" w14:textId="77777777" w:rsidR="00220301" w:rsidRPr="00CD6A81" w:rsidRDefault="00220301" w:rsidP="00CD6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6DD656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hAnsi="Times New Roman" w:cs="Times New Roman"/>
          <w:sz w:val="28"/>
          <w:szCs w:val="28"/>
        </w:rPr>
        <w:t>Ответы на ситуационную задачу №2</w:t>
      </w:r>
    </w:p>
    <w:p w14:paraId="10C45878" w14:textId="77777777" w:rsidR="00220301" w:rsidRPr="00CD6A81" w:rsidRDefault="00220301" w:rsidP="00CD6A8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82A20D" w14:textId="77777777" w:rsidR="00220301" w:rsidRPr="00CD6A81" w:rsidRDefault="00220301" w:rsidP="00CD6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1. Хронический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билиарнозависимый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рецидивирующий панкреатит в стадии обострения.</w:t>
      </w:r>
    </w:p>
    <w:p w14:paraId="498FA361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2. Диагноз «хронический рецидивирующий панкреатит в стадии обострения» выставлен на основании:</w:t>
      </w:r>
    </w:p>
    <w:p w14:paraId="267B8985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- данных анамнеза (ноющие боли в животе, иррадиирущие, длительность заболевания);</w:t>
      </w:r>
    </w:p>
    <w:p w14:paraId="6C577F84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- сопутствующей патологии желчного пузыря;</w:t>
      </w:r>
    </w:p>
    <w:p w14:paraId="73C3E0BD" w14:textId="77777777" w:rsidR="00220301" w:rsidRPr="00CD6A81" w:rsidRDefault="00220301" w:rsidP="00CD6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- объективных данных (при пальпации болезненность в проекции поджелудочной железы);</w:t>
      </w:r>
    </w:p>
    <w:p w14:paraId="3C91A12E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- общий анализ крови: лейкоцитоз, увеличение СОЭ;</w:t>
      </w:r>
    </w:p>
    <w:p w14:paraId="39E1388E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- анализ мочи: повышение амилазы.</w:t>
      </w:r>
    </w:p>
    <w:p w14:paraId="10436712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hAnsi="Times New Roman" w:cs="Times New Roman"/>
          <w:sz w:val="28"/>
          <w:szCs w:val="28"/>
        </w:rPr>
        <w:t xml:space="preserve">3. </w:t>
      </w:r>
      <w:r w:rsidRPr="00CD6A81">
        <w:rPr>
          <w:rFonts w:ascii="Times New Roman" w:eastAsia="Times New Roman" w:hAnsi="Times New Roman" w:cs="Times New Roman"/>
          <w:sz w:val="28"/>
          <w:szCs w:val="28"/>
        </w:rPr>
        <w:t>Пациенту рекомендовано:</w:t>
      </w:r>
    </w:p>
    <w:p w14:paraId="04D5DBF5" w14:textId="77777777" w:rsidR="00220301" w:rsidRPr="00CD6A81" w:rsidRDefault="00220301" w:rsidP="00CD6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копрограмма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: стеаторея,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креаторея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амилорея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64053F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hAnsi="Times New Roman" w:cs="Times New Roman"/>
          <w:sz w:val="28"/>
          <w:szCs w:val="28"/>
        </w:rPr>
        <w:t xml:space="preserve">- определение уровня фекальной </w:t>
      </w:r>
      <w:proofErr w:type="spellStart"/>
      <w:r w:rsidRPr="00CD6A81">
        <w:rPr>
          <w:rFonts w:ascii="Times New Roman" w:hAnsi="Times New Roman" w:cs="Times New Roman"/>
          <w:sz w:val="28"/>
          <w:szCs w:val="28"/>
        </w:rPr>
        <w:t>эластазы</w:t>
      </w:r>
      <w:proofErr w:type="spellEnd"/>
      <w:r w:rsidRPr="00CD6A81">
        <w:rPr>
          <w:rFonts w:ascii="Times New Roman" w:hAnsi="Times New Roman" w:cs="Times New Roman"/>
          <w:sz w:val="28"/>
          <w:szCs w:val="28"/>
        </w:rPr>
        <w:t>;</w:t>
      </w:r>
    </w:p>
    <w:p w14:paraId="672A010D" w14:textId="77777777" w:rsidR="00220301" w:rsidRPr="00CD6A81" w:rsidRDefault="00220301" w:rsidP="00CD6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- биохимический анализ крови: увеличение амилазы, липазы, трипсина;</w:t>
      </w:r>
    </w:p>
    <w:p w14:paraId="51772E48" w14:textId="77777777" w:rsidR="00220301" w:rsidRPr="00CD6A81" w:rsidRDefault="00220301" w:rsidP="00CD6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- анализ крови на маркеры вирусных гепатитов, печеночные пробы для дифференциальной диагностики;</w:t>
      </w:r>
    </w:p>
    <w:p w14:paraId="643762D6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- общий анализ крови: динамическое наблюдение;</w:t>
      </w:r>
    </w:p>
    <w:p w14:paraId="3BD78E0C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- анализ мочи: динамическое наблюдение.</w:t>
      </w:r>
    </w:p>
    <w:p w14:paraId="57714830" w14:textId="77777777" w:rsidR="00220301" w:rsidRPr="00CD6A81" w:rsidRDefault="00220301" w:rsidP="00CD6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- УЗИ поджелудочной железы, печени и желчевыводящих путей;</w:t>
      </w:r>
    </w:p>
    <w:p w14:paraId="2FEB2D82" w14:textId="77777777" w:rsidR="00220301" w:rsidRPr="00CD6A81" w:rsidRDefault="00220301" w:rsidP="00CD6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гепатобилисцинтиграфия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икслючения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ПХЭС (дисфункция сфинктера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Одди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>) для объяснения рецидивов панкреатита.</w:t>
      </w:r>
    </w:p>
    <w:p w14:paraId="6C3DA66C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4. Пациенту рекомендована госпитализация, стационарное лечение:</w:t>
      </w:r>
    </w:p>
    <w:p w14:paraId="1426610B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- отказ от употребления алкоголя и курения;</w:t>
      </w:r>
    </w:p>
    <w:p w14:paraId="1F659460" w14:textId="77777777" w:rsidR="00220301" w:rsidRPr="00CD6A81" w:rsidRDefault="00220301" w:rsidP="00CD6A8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- режим полупостельный;</w:t>
      </w:r>
    </w:p>
    <w:p w14:paraId="16F9F541" w14:textId="77777777" w:rsidR="00220301" w:rsidRPr="00CD6A81" w:rsidRDefault="00220301" w:rsidP="00CD6A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D6A81">
        <w:rPr>
          <w:rFonts w:ascii="Times New Roman" w:hAnsi="Times New Roman" w:cs="Times New Roman"/>
          <w:sz w:val="28"/>
          <w:szCs w:val="28"/>
        </w:rPr>
        <w:t>дробныи</w:t>
      </w:r>
      <w:proofErr w:type="spellEnd"/>
      <w:r w:rsidRPr="00CD6A81">
        <w:rPr>
          <w:rFonts w:ascii="Times New Roman" w:hAnsi="Times New Roman" w:cs="Times New Roman"/>
          <w:sz w:val="28"/>
          <w:szCs w:val="28"/>
        </w:rPr>
        <w:t xml:space="preserve">̆ прием пищи с равномерным распределением жира во все порции </w:t>
      </w:r>
      <w:r w:rsidRPr="00CD6A81">
        <w:rPr>
          <w:rFonts w:ascii="Times New Roman" w:eastAsia="Times New Roman" w:hAnsi="Times New Roman" w:cs="Times New Roman"/>
          <w:sz w:val="28"/>
          <w:szCs w:val="28"/>
        </w:rPr>
        <w:t>(исключают острые, жирные, жареные блюда, питание должно быть дробным (не реже 4-5 раз в день));</w:t>
      </w:r>
    </w:p>
    <w:p w14:paraId="0E4271F1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- при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интенсивнои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>̆ боли необходимо назначение анальгетиков — парацетамола или НПВС;</w:t>
      </w:r>
    </w:p>
    <w:p w14:paraId="2619EE4A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- антациды: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альмагель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>, карбонат кальция;</w:t>
      </w:r>
    </w:p>
    <w:p w14:paraId="4BD74827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- антибиотики широкого спектра действия;</w:t>
      </w:r>
    </w:p>
    <w:p w14:paraId="1CF7CDA5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- спазмолитики: папаверин, но-шпа,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платифиллин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9905BC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- заместительная ферментная терапия: пациент должен получать не менее 25-40 тыс. ед. липазы на основной̆ прием пищи и 10-25 тыс. ед. на промежуточный̆ прием, эффективность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заместительнои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ферментнои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>̆ терапии более высока при назначении ферментов во время или сразу после еды;</w:t>
      </w:r>
    </w:p>
    <w:p w14:paraId="2E7DF27C" w14:textId="77777777" w:rsidR="00220301" w:rsidRPr="00CD6A81" w:rsidRDefault="00220301" w:rsidP="00CD6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- витамины: С, В</w:t>
      </w:r>
      <w:r w:rsidRPr="00CD6A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D6A81">
        <w:rPr>
          <w:rFonts w:ascii="Times New Roman" w:eastAsia="Times New Roman" w:hAnsi="Times New Roman" w:cs="Times New Roman"/>
          <w:sz w:val="28"/>
          <w:szCs w:val="28"/>
        </w:rPr>
        <w:t>, А, Е;</w:t>
      </w:r>
    </w:p>
    <w:p w14:paraId="30CC5C2F" w14:textId="77777777" w:rsidR="00220301" w:rsidRPr="00CD6A81" w:rsidRDefault="00220301" w:rsidP="00CD6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D6A8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D6A81">
        <w:rPr>
          <w:rFonts w:ascii="Times New Roman" w:hAnsi="Times New Roman" w:cs="Times New Roman"/>
          <w:sz w:val="28"/>
          <w:szCs w:val="28"/>
        </w:rPr>
        <w:t>недостаточнои</w:t>
      </w:r>
      <w:proofErr w:type="spellEnd"/>
      <w:r w:rsidRPr="00CD6A81">
        <w:rPr>
          <w:rFonts w:ascii="Times New Roman" w:hAnsi="Times New Roman" w:cs="Times New Roman"/>
          <w:sz w:val="28"/>
          <w:szCs w:val="28"/>
        </w:rPr>
        <w:t xml:space="preserve">̆ эффективности </w:t>
      </w:r>
      <w:proofErr w:type="spellStart"/>
      <w:r w:rsidRPr="00CD6A81">
        <w:rPr>
          <w:rFonts w:ascii="Times New Roman" w:hAnsi="Times New Roman" w:cs="Times New Roman"/>
          <w:sz w:val="28"/>
          <w:szCs w:val="28"/>
        </w:rPr>
        <w:t>заместительнои</w:t>
      </w:r>
      <w:proofErr w:type="spellEnd"/>
      <w:r w:rsidRPr="00CD6A81">
        <w:rPr>
          <w:rFonts w:ascii="Times New Roman" w:hAnsi="Times New Roman" w:cs="Times New Roman"/>
          <w:sz w:val="28"/>
          <w:szCs w:val="28"/>
        </w:rPr>
        <w:t xml:space="preserve">̆ терапии в начальных дозах рекомендуется удвоить дозу ММСП или </w:t>
      </w:r>
      <w:proofErr w:type="spellStart"/>
      <w:r w:rsidRPr="00CD6A81">
        <w:rPr>
          <w:rFonts w:ascii="Times New Roman" w:hAnsi="Times New Roman" w:cs="Times New Roman"/>
          <w:sz w:val="28"/>
          <w:szCs w:val="28"/>
        </w:rPr>
        <w:t>микротаблеток</w:t>
      </w:r>
      <w:proofErr w:type="spellEnd"/>
      <w:r w:rsidRPr="00CD6A81">
        <w:rPr>
          <w:rFonts w:ascii="Times New Roman" w:hAnsi="Times New Roman" w:cs="Times New Roman"/>
          <w:sz w:val="28"/>
          <w:szCs w:val="28"/>
        </w:rPr>
        <w:t xml:space="preserve"> панкреатина </w:t>
      </w:r>
      <w:r w:rsidRPr="00CD6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F94873" w14:textId="77777777" w:rsidR="00220301" w:rsidRPr="00CD6A81" w:rsidRDefault="00220301" w:rsidP="00CD6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6A81">
        <w:rPr>
          <w:rFonts w:ascii="Times New Roman" w:hAnsi="Times New Roman" w:cs="Times New Roman"/>
          <w:sz w:val="28"/>
          <w:szCs w:val="28"/>
        </w:rPr>
        <w:t xml:space="preserve">Пациентам с сохраняющимися симптома- ми несмотря на прием в максимальных дозах ферментных препаратов, покрытых </w:t>
      </w:r>
      <w:proofErr w:type="spellStart"/>
      <w:r w:rsidRPr="00CD6A81">
        <w:rPr>
          <w:rFonts w:ascii="Times New Roman" w:hAnsi="Times New Roman" w:cs="Times New Roman"/>
          <w:sz w:val="28"/>
          <w:szCs w:val="28"/>
        </w:rPr>
        <w:t>кишечнорастворимои</w:t>
      </w:r>
      <w:proofErr w:type="spellEnd"/>
      <w:r w:rsidRPr="00CD6A81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CD6A81">
        <w:rPr>
          <w:rFonts w:ascii="Times New Roman" w:hAnsi="Times New Roman" w:cs="Times New Roman"/>
          <w:sz w:val="28"/>
          <w:szCs w:val="28"/>
        </w:rPr>
        <w:t>оболочкои</w:t>
      </w:r>
      <w:proofErr w:type="spellEnd"/>
      <w:r w:rsidRPr="00CD6A81">
        <w:rPr>
          <w:rFonts w:ascii="Times New Roman" w:hAnsi="Times New Roman" w:cs="Times New Roman"/>
          <w:sz w:val="28"/>
          <w:szCs w:val="28"/>
        </w:rPr>
        <w:t>̆, следует назначать терапию, подавляющую желудочную секрецию, — ИПП.</w:t>
      </w:r>
    </w:p>
    <w:p w14:paraId="385D214B" w14:textId="77777777" w:rsidR="00220301" w:rsidRPr="00CD6A81" w:rsidRDefault="00220301" w:rsidP="00CD6A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hAnsi="Times New Roman" w:cs="Times New Roman"/>
          <w:sz w:val="28"/>
          <w:szCs w:val="28"/>
        </w:rPr>
        <w:t xml:space="preserve">5. </w:t>
      </w: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Прогноз в отношении жизни благоприятный при условии соблюдения диетических рекомендаций и отсутствии осложнений. </w:t>
      </w:r>
      <w:r w:rsidRPr="00CD6A81">
        <w:rPr>
          <w:rFonts w:ascii="Times New Roman" w:hAnsi="Times New Roman" w:cs="Times New Roman"/>
          <w:sz w:val="28"/>
          <w:szCs w:val="28"/>
        </w:rPr>
        <w:t xml:space="preserve">Профилактика ХП базируется на экстраполяции данных когортных эпидемиологических исследований, согласно результатам которых можно предполагать, что ограничение употребления алкоголя и </w:t>
      </w:r>
      <w:proofErr w:type="spellStart"/>
      <w:r w:rsidRPr="00CD6A8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CD6A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6A81">
        <w:rPr>
          <w:rFonts w:ascii="Times New Roman" w:hAnsi="Times New Roman" w:cs="Times New Roman"/>
          <w:sz w:val="28"/>
          <w:szCs w:val="28"/>
        </w:rPr>
        <w:t>категорическии</w:t>
      </w:r>
      <w:proofErr w:type="spellEnd"/>
      <w:r w:rsidRPr="00CD6A81">
        <w:rPr>
          <w:rFonts w:ascii="Times New Roman" w:hAnsi="Times New Roman" w:cs="Times New Roman"/>
          <w:sz w:val="28"/>
          <w:szCs w:val="28"/>
        </w:rPr>
        <w:t xml:space="preserve">̆ запрет при перенесенном остром панкреатите или установленном диагнозе ХП) может быть фактором, снижающим риск прогрессирования заболевания . У лиц с </w:t>
      </w:r>
      <w:proofErr w:type="spellStart"/>
      <w:r w:rsidRPr="00CD6A81">
        <w:rPr>
          <w:rFonts w:ascii="Times New Roman" w:hAnsi="Times New Roman" w:cs="Times New Roman"/>
          <w:sz w:val="28"/>
          <w:szCs w:val="28"/>
        </w:rPr>
        <w:t>симптомнои</w:t>
      </w:r>
      <w:proofErr w:type="spellEnd"/>
      <w:r w:rsidRPr="00CD6A81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CD6A81">
        <w:rPr>
          <w:rFonts w:ascii="Times New Roman" w:hAnsi="Times New Roman" w:cs="Times New Roman"/>
          <w:sz w:val="28"/>
          <w:szCs w:val="28"/>
        </w:rPr>
        <w:t>желчнокаменнои</w:t>
      </w:r>
      <w:proofErr w:type="spellEnd"/>
      <w:r w:rsidRPr="00CD6A81">
        <w:rPr>
          <w:rFonts w:ascii="Times New Roman" w:hAnsi="Times New Roman" w:cs="Times New Roman"/>
          <w:sz w:val="28"/>
          <w:szCs w:val="28"/>
        </w:rPr>
        <w:t xml:space="preserve">̆ болезнью, атаками хронического калькулезного холецистита и билиарного панкреатита средством профилактики последующих атак панкреатита можно считать своевременную </w:t>
      </w:r>
      <w:proofErr w:type="spellStart"/>
      <w:r w:rsidRPr="00CD6A81">
        <w:rPr>
          <w:rFonts w:ascii="Times New Roman" w:hAnsi="Times New Roman" w:cs="Times New Roman"/>
          <w:sz w:val="28"/>
          <w:szCs w:val="28"/>
        </w:rPr>
        <w:t>холецистэктомию</w:t>
      </w:r>
      <w:proofErr w:type="spellEnd"/>
      <w:r w:rsidRPr="00CD6A81">
        <w:rPr>
          <w:rFonts w:ascii="Times New Roman" w:hAnsi="Times New Roman" w:cs="Times New Roman"/>
          <w:sz w:val="28"/>
          <w:szCs w:val="28"/>
        </w:rPr>
        <w:t xml:space="preserve"> Опираясь на результаты ряда экспериментальных, эпидемиологических и пилотных исследований, </w:t>
      </w:r>
      <w:proofErr w:type="spellStart"/>
      <w:r w:rsidRPr="00CD6A81">
        <w:rPr>
          <w:rFonts w:ascii="Times New Roman" w:hAnsi="Times New Roman" w:cs="Times New Roman"/>
          <w:sz w:val="28"/>
          <w:szCs w:val="28"/>
        </w:rPr>
        <w:t>многолетнии</w:t>
      </w:r>
      <w:proofErr w:type="spellEnd"/>
      <w:r w:rsidRPr="00CD6A81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CD6A81">
        <w:rPr>
          <w:rFonts w:ascii="Times New Roman" w:hAnsi="Times New Roman" w:cs="Times New Roman"/>
          <w:sz w:val="28"/>
          <w:szCs w:val="28"/>
        </w:rPr>
        <w:t>эмпирическии</w:t>
      </w:r>
      <w:proofErr w:type="spellEnd"/>
      <w:r w:rsidRPr="00CD6A81">
        <w:rPr>
          <w:rFonts w:ascii="Times New Roman" w:hAnsi="Times New Roman" w:cs="Times New Roman"/>
          <w:sz w:val="28"/>
          <w:szCs w:val="28"/>
        </w:rPr>
        <w:t xml:space="preserve">̆ опыт, для предупреждения обострений ХП в первую очередь можно рекомендовать следующие мероприятия по модификации образа жизни с целью профилактики ХП: </w:t>
      </w:r>
    </w:p>
    <w:p w14:paraId="67D318F4" w14:textId="77777777" w:rsidR="00220301" w:rsidRPr="00CD6A81" w:rsidRDefault="00220301" w:rsidP="00CD6A81">
      <w:pPr>
        <w:pStyle w:val="a4"/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CD6A81">
        <w:rPr>
          <w:rFonts w:ascii="Times New Roman" w:hAnsi="Times New Roman"/>
          <w:sz w:val="28"/>
          <w:szCs w:val="28"/>
        </w:rPr>
        <w:t xml:space="preserve">◊ дробное питание (4–5 раз в день, равно- мерными порциями с одинаковым распределением жирсодержащих продуктов в рационе), отказ от переедания; </w:t>
      </w:r>
    </w:p>
    <w:p w14:paraId="28713942" w14:textId="77777777" w:rsidR="00220301" w:rsidRPr="00CD6A81" w:rsidRDefault="00220301" w:rsidP="00CD6A81">
      <w:pPr>
        <w:pStyle w:val="a4"/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CD6A81">
        <w:rPr>
          <w:rFonts w:ascii="Times New Roman" w:hAnsi="Times New Roman"/>
          <w:sz w:val="28"/>
          <w:szCs w:val="28"/>
        </w:rPr>
        <w:t xml:space="preserve">◊ употребление </w:t>
      </w:r>
      <w:proofErr w:type="spellStart"/>
      <w:r w:rsidRPr="00CD6A81">
        <w:rPr>
          <w:rFonts w:ascii="Times New Roman" w:hAnsi="Times New Roman"/>
          <w:sz w:val="28"/>
          <w:szCs w:val="28"/>
        </w:rPr>
        <w:t>разнообразнои</w:t>
      </w:r>
      <w:proofErr w:type="spellEnd"/>
      <w:r w:rsidRPr="00CD6A81">
        <w:rPr>
          <w:rFonts w:ascii="Times New Roman" w:hAnsi="Times New Roman"/>
          <w:sz w:val="28"/>
          <w:szCs w:val="28"/>
        </w:rPr>
        <w:t xml:space="preserve">̆ пищи с низким содержанием насыщенных жиров и холестерина (нерафинированные растительные жиры несколько ограничиваются только у лиц с </w:t>
      </w:r>
      <w:proofErr w:type="spellStart"/>
      <w:r w:rsidRPr="00CD6A81">
        <w:rPr>
          <w:rFonts w:ascii="Times New Roman" w:hAnsi="Times New Roman"/>
          <w:sz w:val="28"/>
          <w:szCs w:val="28"/>
        </w:rPr>
        <w:t>избыточнои</w:t>
      </w:r>
      <w:proofErr w:type="spellEnd"/>
      <w:r w:rsidRPr="00CD6A81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Pr="00CD6A81">
        <w:rPr>
          <w:rFonts w:ascii="Times New Roman" w:hAnsi="Times New Roman"/>
          <w:sz w:val="28"/>
          <w:szCs w:val="28"/>
        </w:rPr>
        <w:t>массои</w:t>
      </w:r>
      <w:proofErr w:type="spellEnd"/>
      <w:r w:rsidRPr="00CD6A81">
        <w:rPr>
          <w:rFonts w:ascii="Times New Roman" w:hAnsi="Times New Roman"/>
          <w:sz w:val="28"/>
          <w:szCs w:val="28"/>
        </w:rPr>
        <w:t xml:space="preserve">̆ тела), </w:t>
      </w:r>
    </w:p>
    <w:p w14:paraId="1AAE730B" w14:textId="77777777" w:rsidR="00220301" w:rsidRPr="00CD6A81" w:rsidRDefault="00220301" w:rsidP="00CD6A81">
      <w:pPr>
        <w:pStyle w:val="a4"/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CD6A81">
        <w:rPr>
          <w:rFonts w:ascii="Times New Roman" w:hAnsi="Times New Roman"/>
          <w:sz w:val="28"/>
          <w:szCs w:val="28"/>
        </w:rPr>
        <w:t xml:space="preserve">◊ выбор рациона с достаточным количеством пищевых волокон, содержащихся в зерновых продуктах, овощах и фруктах; </w:t>
      </w:r>
    </w:p>
    <w:p w14:paraId="31802D36" w14:textId="77777777" w:rsidR="00220301" w:rsidRPr="00CD6A81" w:rsidRDefault="00220301" w:rsidP="00CD6A81">
      <w:pPr>
        <w:pStyle w:val="a4"/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CD6A81">
        <w:rPr>
          <w:rFonts w:ascii="Times New Roman" w:hAnsi="Times New Roman"/>
          <w:sz w:val="28"/>
          <w:szCs w:val="28"/>
        </w:rPr>
        <w:t xml:space="preserve">◊ </w:t>
      </w:r>
      <w:proofErr w:type="spellStart"/>
      <w:r w:rsidRPr="00CD6A81">
        <w:rPr>
          <w:rFonts w:ascii="Times New Roman" w:hAnsi="Times New Roman"/>
          <w:sz w:val="28"/>
          <w:szCs w:val="28"/>
        </w:rPr>
        <w:t>найти</w:t>
      </w:r>
      <w:proofErr w:type="spellEnd"/>
      <w:r w:rsidRPr="00CD6A81">
        <w:rPr>
          <w:rFonts w:ascii="Times New Roman" w:hAnsi="Times New Roman"/>
          <w:sz w:val="28"/>
          <w:szCs w:val="28"/>
        </w:rPr>
        <w:t xml:space="preserve"> баланс между количеством </w:t>
      </w:r>
      <w:proofErr w:type="spellStart"/>
      <w:r w:rsidRPr="00CD6A81">
        <w:rPr>
          <w:rFonts w:ascii="Times New Roman" w:hAnsi="Times New Roman"/>
          <w:sz w:val="28"/>
          <w:szCs w:val="28"/>
        </w:rPr>
        <w:t>принимаемои</w:t>
      </w:r>
      <w:proofErr w:type="spellEnd"/>
      <w:r w:rsidRPr="00CD6A81">
        <w:rPr>
          <w:rFonts w:ascii="Times New Roman" w:hAnsi="Times New Roman"/>
          <w:sz w:val="28"/>
          <w:szCs w:val="28"/>
        </w:rPr>
        <w:t xml:space="preserve">̆ пищи и </w:t>
      </w:r>
      <w:proofErr w:type="spellStart"/>
      <w:r w:rsidRPr="00CD6A81">
        <w:rPr>
          <w:rFonts w:ascii="Times New Roman" w:hAnsi="Times New Roman"/>
          <w:sz w:val="28"/>
          <w:szCs w:val="28"/>
        </w:rPr>
        <w:t>физическои</w:t>
      </w:r>
      <w:proofErr w:type="spellEnd"/>
      <w:r w:rsidRPr="00CD6A81">
        <w:rPr>
          <w:rFonts w:ascii="Times New Roman" w:hAnsi="Times New Roman"/>
          <w:sz w:val="28"/>
          <w:szCs w:val="28"/>
        </w:rPr>
        <w:t xml:space="preserve">̆ активностью (для стабилизации массы тела со стремлением к идеальным показателям с </w:t>
      </w:r>
      <w:proofErr w:type="spellStart"/>
      <w:r w:rsidRPr="00CD6A81">
        <w:rPr>
          <w:rFonts w:ascii="Times New Roman" w:hAnsi="Times New Roman"/>
          <w:sz w:val="28"/>
          <w:szCs w:val="28"/>
        </w:rPr>
        <w:t>поправкои</w:t>
      </w:r>
      <w:proofErr w:type="spellEnd"/>
      <w:r w:rsidRPr="00CD6A81">
        <w:rPr>
          <w:rFonts w:ascii="Times New Roman" w:hAnsi="Times New Roman"/>
          <w:sz w:val="28"/>
          <w:szCs w:val="28"/>
        </w:rPr>
        <w:t xml:space="preserve">̆ на возраст). </w:t>
      </w:r>
    </w:p>
    <w:p w14:paraId="1D533DA5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D6A81">
        <w:rPr>
          <w:rFonts w:ascii="Times New Roman" w:hAnsi="Times New Roman" w:cs="Times New Roman"/>
          <w:sz w:val="28"/>
          <w:szCs w:val="28"/>
        </w:rPr>
        <w:t>эффективнои</w:t>
      </w:r>
      <w:proofErr w:type="spellEnd"/>
      <w:r w:rsidRPr="00CD6A81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CD6A81">
        <w:rPr>
          <w:rFonts w:ascii="Times New Roman" w:hAnsi="Times New Roman" w:cs="Times New Roman"/>
          <w:sz w:val="28"/>
          <w:szCs w:val="28"/>
        </w:rPr>
        <w:t>первичнои</w:t>
      </w:r>
      <w:proofErr w:type="spellEnd"/>
      <w:r w:rsidRPr="00CD6A81">
        <w:rPr>
          <w:rFonts w:ascii="Times New Roman" w:hAnsi="Times New Roman" w:cs="Times New Roman"/>
          <w:sz w:val="28"/>
          <w:szCs w:val="28"/>
        </w:rPr>
        <w:t xml:space="preserve">̆ профилактики ХП можно надеяться на состоятельность идеи о тотальном диспансерном наблюдении населения с целью своевременного выявления патологии желчевыводящих </w:t>
      </w:r>
      <w:proofErr w:type="spellStart"/>
      <w:r w:rsidRPr="00CD6A81">
        <w:rPr>
          <w:rFonts w:ascii="Times New Roman" w:hAnsi="Times New Roman" w:cs="Times New Roman"/>
          <w:sz w:val="28"/>
          <w:szCs w:val="28"/>
        </w:rPr>
        <w:t>путеи</w:t>
      </w:r>
      <w:proofErr w:type="spellEnd"/>
      <w:r w:rsidRPr="00CD6A81">
        <w:rPr>
          <w:rFonts w:ascii="Times New Roman" w:hAnsi="Times New Roman" w:cs="Times New Roman"/>
          <w:sz w:val="28"/>
          <w:szCs w:val="28"/>
        </w:rPr>
        <w:t xml:space="preserve">̆, </w:t>
      </w:r>
      <w:proofErr w:type="spellStart"/>
      <w:r w:rsidRPr="00CD6A81">
        <w:rPr>
          <w:rFonts w:ascii="Times New Roman" w:hAnsi="Times New Roman" w:cs="Times New Roman"/>
          <w:sz w:val="28"/>
          <w:szCs w:val="28"/>
        </w:rPr>
        <w:t>гиперлипидемии</w:t>
      </w:r>
      <w:proofErr w:type="spellEnd"/>
      <w:r w:rsidRPr="00CD6A81">
        <w:rPr>
          <w:rFonts w:ascii="Times New Roman" w:hAnsi="Times New Roman" w:cs="Times New Roman"/>
          <w:sz w:val="28"/>
          <w:szCs w:val="28"/>
        </w:rPr>
        <w:t>, стигматов скрытого злоупотребления алкоголем и т. п.</w:t>
      </w:r>
    </w:p>
    <w:p w14:paraId="1D70B24B" w14:textId="77777777" w:rsidR="007A16D3" w:rsidRPr="00CD6A81" w:rsidRDefault="007A16D3" w:rsidP="00CD6A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74A870" w14:textId="77777777" w:rsidR="0022030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hAnsi="Times New Roman" w:cs="Times New Roman"/>
          <w:sz w:val="28"/>
          <w:szCs w:val="28"/>
        </w:rPr>
        <w:t>Ответы на ситуационную задачу №3</w:t>
      </w:r>
    </w:p>
    <w:p w14:paraId="216E8537" w14:textId="77777777" w:rsidR="00CD6A81" w:rsidRPr="00CD6A81" w:rsidRDefault="00CD6A81" w:rsidP="00CD6A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F94F1F" w14:textId="77777777" w:rsidR="00220301" w:rsidRPr="00CD6A81" w:rsidRDefault="00220301" w:rsidP="00CD6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1. Истинная полицитемия, подострый синдром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Бадда-Киари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(тромбоз печеночных вен), асцит.</w:t>
      </w:r>
    </w:p>
    <w:p w14:paraId="225D1E52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2. Диагноз «истинная полицитемия, подострый синдром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Бадда-Киари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(тромбоз нижней полой вены), асцит» поставлен на основании:</w:t>
      </w:r>
    </w:p>
    <w:p w14:paraId="69610342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- результатов лабораторных исследований (полицитемия);</w:t>
      </w:r>
    </w:p>
    <w:p w14:paraId="49C6E227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- жалоб больного;</w:t>
      </w:r>
    </w:p>
    <w:p w14:paraId="6DDED093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- анамнестических данных.</w:t>
      </w:r>
    </w:p>
    <w:p w14:paraId="17F49283" w14:textId="77777777" w:rsidR="00220301" w:rsidRPr="00CD6A81" w:rsidRDefault="00220301" w:rsidP="00CD6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Диагноз синдром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Бадда-Киари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стоит предполагать у любого пациента с симптоматическим или бессимптомным острым либо хроническим поражением печени.</w:t>
      </w:r>
    </w:p>
    <w:p w14:paraId="1CA56FDA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3. Пациентов с синдромом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Бадда-Киари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направляют в специализированные центры.</w:t>
      </w:r>
    </w:p>
    <w:p w14:paraId="11C0C3E2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Допплеровское УЗИ (метод выбора при диагностике синдрома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Бадда-Киари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>): непроходимые печёночные вены и увеличенный 1. сегмент печени.</w:t>
      </w:r>
    </w:p>
    <w:p w14:paraId="2B2765BB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КТ: с целью диагностики внутрипеченочных причин синдрома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Бадда-Киари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(например, расположенные вблизи печёночных вен опухоли и абсцессы печени). КТ визуализирует нарушения перфузии паренхимы печени, которые часто бывают настолько сильными, что картина напоминает опухолевые изменения.</w:t>
      </w:r>
    </w:p>
    <w:p w14:paraId="21768C5B" w14:textId="77777777" w:rsidR="00220301" w:rsidRPr="00CD6A81" w:rsidRDefault="00220301" w:rsidP="00CD6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Флебография и МР-ангиография, и особенно классическая флебография (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кавография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>): дают подробную информацию о локализации и объёме тромбоза или другого препятствия в венозном кровообращении.</w:t>
      </w:r>
    </w:p>
    <w:p w14:paraId="5BF3353B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4. Всем пациентам с синдромом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Бадда-Киари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(СБК) назначают антикоагулянты в отсутствие противопоказаний. Осложнения портальной гипертензии при адекватном лечении не являются противопоказанием для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антикоагулянтной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терапии. При проведении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парацентеза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следует временно прекратить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антикоагулянтную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терапию.</w:t>
      </w:r>
    </w:p>
    <w:p w14:paraId="1C4DFECA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Рекомендовано проведение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ангиопластики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стетирования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– декомпенсированная процедура выбора у пациентов со стенозом короткой печеночной вены или нижней полой вены.</w:t>
      </w:r>
    </w:p>
    <w:p w14:paraId="77344380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Пациент требует тщательного наблюдения, чтобы вовремя выявить ухудшение функции печени. Если начальная терапия не помогает, как и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ангиопластика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стентирование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, используют вторичные портальные методы.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Трансъюгулярное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внутрипеченочное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портокавальное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шунтирование (ТВПШ) с использованием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стентов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с политетрафторэтиленовым покрытием — вторичный метод выбора. Если ТВПШ невозможно или не помогает, возможно хирургическое шунтирование. Трансплантацию печени во спасение предлагают тем пациентам, которым не помогли и вторичные методы лечения. После трансплантации печени большинству пациентов с СБК по-прежнему требуется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антикоагулянтная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терапия.</w:t>
      </w:r>
    </w:p>
    <w:p w14:paraId="2B0E8794" w14:textId="77777777" w:rsidR="00220301" w:rsidRPr="00CD6A81" w:rsidRDefault="00220301" w:rsidP="00CD6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Необходимо проводить скрининг пациентов с СБК на гепатоцеллюлярный рак (ГЦР). Различить доброкачественные и злокачественные узлы в печени очень сложно и может потребоваться направление в специализированные центры.</w:t>
      </w:r>
    </w:p>
    <w:p w14:paraId="6773F8D4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Тромбофилия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миелопролиферативные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нарушения, истинная полицитемия,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эссенциальный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тромбоцитоз, фактор </w:t>
      </w:r>
      <w:r w:rsidRPr="00CD6A8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Лейден).</w:t>
      </w:r>
    </w:p>
    <w:p w14:paraId="671DC277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Гепатоцеллюлярная карцинома.</w:t>
      </w:r>
    </w:p>
    <w:p w14:paraId="7BBA4D2E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Приём оральных контрацептивов.</w:t>
      </w:r>
    </w:p>
    <w:p w14:paraId="352FEAE0" w14:textId="77777777" w:rsidR="00220301" w:rsidRDefault="00220301" w:rsidP="00CD6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Лейкемия.</w:t>
      </w:r>
    </w:p>
    <w:p w14:paraId="0A52754F" w14:textId="77777777" w:rsidR="00CD6A81" w:rsidRPr="00CD6A81" w:rsidRDefault="00CD6A81" w:rsidP="00CD6A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6B1AB0" w14:textId="77777777" w:rsidR="0022030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hAnsi="Times New Roman" w:cs="Times New Roman"/>
          <w:sz w:val="28"/>
          <w:szCs w:val="28"/>
        </w:rPr>
        <w:t>Ответы на ситуационную задачу №4</w:t>
      </w:r>
    </w:p>
    <w:p w14:paraId="5FEB943F" w14:textId="77777777" w:rsidR="00CD6A81" w:rsidRPr="00CD6A81" w:rsidRDefault="00CD6A81" w:rsidP="00CD6A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A32B92" w14:textId="77777777" w:rsidR="00220301" w:rsidRPr="00CD6A81" w:rsidRDefault="00220301" w:rsidP="00CD6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1. Неалкогольный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стеатогепатит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CB7573" w14:textId="77777777" w:rsidR="00220301" w:rsidRPr="00CD6A81" w:rsidRDefault="00220301" w:rsidP="00CD6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Стеатоз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(жировая дистрофия), баллонная дистрофия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гепатоцитов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, признаки диффузного острого лобулярного и хронического воспаления,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перивенулярный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фиброз.</w:t>
      </w:r>
    </w:p>
    <w:p w14:paraId="3165AEE5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3. Анализ крови на церулоплазмин (высокий уровень).</w:t>
      </w:r>
    </w:p>
    <w:p w14:paraId="24F3533F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УЗИ органов брюшной полости (оценка состояния органов желудочно-кишечного тракта (ЖКТ)), увеличение размеров печени;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гиперэхогенность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тканей печени на фоне жировой инфильтрации с затуханием сигнала).</w:t>
      </w:r>
    </w:p>
    <w:p w14:paraId="25CD5960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КТ органов брюшной полости (оценка состояния органов ЖКТ; снижение плотности паренхимы печени).</w:t>
      </w:r>
    </w:p>
    <w:p w14:paraId="51EA8846" w14:textId="77777777" w:rsidR="00220301" w:rsidRPr="00CD6A81" w:rsidRDefault="00220301" w:rsidP="00CD6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Тест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Фибромакс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(для подтверждения наличия и определения стадии фиброза печени).</w:t>
      </w:r>
    </w:p>
    <w:p w14:paraId="2D7ABB73" w14:textId="77777777" w:rsidR="00220301" w:rsidRPr="00CD6A81" w:rsidRDefault="00220301" w:rsidP="00CD6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Антитела к гладкомышечным клеткам присутствуют в норме у 3-5% общей популяции населения.</w:t>
      </w:r>
    </w:p>
    <w:p w14:paraId="5875F255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4. Диета и физическая активность: при наличии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избыточнои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̆ массы тела необходимо добиваться ее плавного снижения первоначально – на 10% и не более чем на 0,5-1,0 кг в неделю. Быстрое похудание может привести к прогрессированию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стеатогепатита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и другим нежелательным явлениям, в то же время, снижение веса на 10% является облигатным условием для клинического значимого уменьшения и регресса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некровоспалительных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изменений в печени. Показаны умеренные аэробные нагрузки, например, ходьба в среднем темпе не менее 20 минут не реже 5 раз в неделю, плавание, езда на велосипеде. От бега следует воздержаться, пока не достигнуты нормальные показатели ИМТ. Физические упражнения, в частности плавание (5 часов в неделю), помогают избежать негативного влияния диеты с высоким содержанием фруктозы при невозможности придерживаться режима здорового питания. Выполнение регулярных адекватных физических упражнений приводит к улучшению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гистологическои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̆ картины в печени при неалкогольном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стеатогепатите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(НАСГ) даже без клинически значимого снижения веса, а также способствует уменьшению сывороточного уровня холестерина.</w:t>
      </w:r>
    </w:p>
    <w:p w14:paraId="3FDE92A0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Отмена потенциально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гепатотоксичных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препаратов.</w:t>
      </w:r>
    </w:p>
    <w:p w14:paraId="58ABE59B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Медикаментозная терапия:</w:t>
      </w:r>
    </w:p>
    <w:p w14:paraId="55945136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- омега-3, 6, 9-полиненасыщенные жирные кислоты (препаратами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первои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̆ линии для лечения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гипертриглицеридемии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у пациентов с НАСГ);</w:t>
      </w:r>
    </w:p>
    <w:p w14:paraId="35FC5FA8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статины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(рекомендуется назначать с целью коррекции дислипидемии):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симвастатин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аторвастатин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в дозе 20-40 мг на ночь;</w:t>
      </w:r>
    </w:p>
    <w:p w14:paraId="2DEE7E1C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- витамин Е в дозе 800 мг/сутки улучшает гистологическую картину у пациентов с НАСГ;</w:t>
      </w:r>
    </w:p>
    <w:p w14:paraId="3168B5FD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- препараты, повышающие чувствительность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тканеи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>̆ к инсулину (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инсулиносенситайзеры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метформин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тиазолидиндионы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глитазоны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пиоглитазон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в дозе 30 мг/сутки обсуждается в качестве возможного препарата для лечения, морфологически доказанного НАСГ;</w:t>
      </w:r>
    </w:p>
    <w:p w14:paraId="191A7F22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урсодезоксихолевая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кислота в дозе 30 мг/кг массы тела в день с постепенным снижением дозировки;</w:t>
      </w:r>
    </w:p>
    <w:p w14:paraId="288BF51F" w14:textId="77777777" w:rsidR="00220301" w:rsidRPr="00CD6A81" w:rsidRDefault="00220301" w:rsidP="00CD6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эссенциальные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фосфолипиды: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Эссенциале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Форте® Н 1800 мг в сутки по 2 капсулы 3 раза в день до 12 недель длительности приема.</w:t>
      </w:r>
    </w:p>
    <w:p w14:paraId="1C4781D4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5. Форма 1. Жировая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макровезикулярная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печень с минимальными воспалительными изменениями с прогрессирующим течением.</w:t>
      </w:r>
    </w:p>
    <w:p w14:paraId="7E4C5424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Форма 2. Жировая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макровезикулярная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жировая печень с умеренным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центролобулярными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смешанными воспалительными инфильтратами с умеренным фиброзом в третьей зоне и медленным прогрессированием заболевания (в редких случаях развивается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стеатогепатогенный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цирроз печени).</w:t>
      </w:r>
    </w:p>
    <w:p w14:paraId="5144D6C6" w14:textId="77777777" w:rsidR="00220301" w:rsidRPr="00CD6A81" w:rsidRDefault="00220301" w:rsidP="00CD6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Форма 3. Жировая макро-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микровезикулярная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печень с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субмассивными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некрозами со смешанными воспалительными инфильтратами - подострый тип неалкогольного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стеатогепатита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>, при котором возможно развитие печеночной недостаточности и летального исхода в течение нескольких месяцев.</w:t>
      </w:r>
    </w:p>
    <w:p w14:paraId="58F040C5" w14:textId="77777777" w:rsidR="00CD6A81" w:rsidRDefault="00CD6A81" w:rsidP="00CD6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F1B36A" w14:textId="77777777" w:rsidR="00220301" w:rsidRPr="00CD6A81" w:rsidRDefault="00220301" w:rsidP="00CD6A81">
      <w:pPr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hAnsi="Times New Roman" w:cs="Times New Roman"/>
          <w:sz w:val="28"/>
          <w:szCs w:val="28"/>
        </w:rPr>
        <w:t>Ответы на ситуационную задачу №5</w:t>
      </w:r>
    </w:p>
    <w:p w14:paraId="3A7CA7EC" w14:textId="77777777" w:rsidR="00CD6A81" w:rsidRPr="00CD6A81" w:rsidRDefault="00CD6A81" w:rsidP="00CD6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42EE56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hAnsi="Times New Roman" w:cs="Times New Roman"/>
          <w:sz w:val="28"/>
          <w:szCs w:val="28"/>
        </w:rPr>
        <w:t>1.</w:t>
      </w: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Цирроз печени кардиальный, асцит, портальная гипертензия.</w:t>
      </w:r>
    </w:p>
    <w:p w14:paraId="31BE3EC5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hAnsi="Times New Roman" w:cs="Times New Roman"/>
          <w:sz w:val="28"/>
          <w:szCs w:val="28"/>
        </w:rPr>
        <w:t>2.</w:t>
      </w: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Цирроз печени (хроническое заболевание печени с желтухой, вздутием живота и асцитом), асцит (анамнестические данные, результаты лабораторных анализов, повышенный уровень СА-125 200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/мл (35), причина асцита может быть установлена путем расчета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сывороточно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-асцитического альбуминового градиента, поскольку она непосредственно коррелирует с портальным давлением более чем в 97% случаев),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сывороточно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>-асцитический альбуминовый градиент выше 11 г/л предполагает наличие портальной гипертензии.</w:t>
      </w:r>
    </w:p>
    <w:p w14:paraId="6A7AEA20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hAnsi="Times New Roman" w:cs="Times New Roman"/>
          <w:sz w:val="28"/>
          <w:szCs w:val="28"/>
        </w:rPr>
        <w:t>3.</w:t>
      </w: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УЗИ органов брюшной полости (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гепатолиенальный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синдром).</w:t>
      </w:r>
    </w:p>
    <w:p w14:paraId="0874B04F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Расширенные и извитые венозные коллатерали выявляются при ангиографии, компьютерной томографии, ультразвуковом исследовании или в ходе оперативного вмешательства.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Эзофагогастродуоденоскопия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(ЭГДС).</w:t>
      </w:r>
    </w:p>
    <w:p w14:paraId="7F9C82A3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Антимитохондриальные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антитела (показатели, характерные для аутоиммунной (заболевание, при котором иммунная система организма начинает атаковать собственные клетки печени) природы цирроза печени).</w:t>
      </w:r>
    </w:p>
    <w:p w14:paraId="324CB368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Антигладкомышечные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антитела (показатели, выявляемые при повреждении гладких мышц организма, характерные для аутоиммунной природы цирроза печени).</w:t>
      </w:r>
    </w:p>
    <w:p w14:paraId="438B70ED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Антинуклеарные антитела (показатели, характерные для разрушения структуры ядер клеток, при их аутоиммунном повреждении).</w:t>
      </w:r>
    </w:p>
    <w:p w14:paraId="57780D43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Общий анализ мочи (для контроля состояния мочевыводящих путей и органов мочеполовой системы).</w:t>
      </w:r>
    </w:p>
    <w:p w14:paraId="33A1A306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Анализ крови на присутствие вирусов гепатитов.</w:t>
      </w:r>
    </w:p>
    <w:p w14:paraId="5AF7F54B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Копрограмма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- анализ кала (можно обнаружить непереваренные фрагменты пищи, жира, грубые пищевые волокна).</w:t>
      </w:r>
    </w:p>
    <w:p w14:paraId="758A2F76" w14:textId="77777777" w:rsidR="00220301" w:rsidRPr="00CD6A81" w:rsidRDefault="00220301" w:rsidP="00CD6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Биопсия печени,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эластография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4BAD50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Анализ на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онкомаркеры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гинекологических злокачественных заболеваний (рак яичника) для дифференциальной диагностики.</w:t>
      </w:r>
    </w:p>
    <w:p w14:paraId="5F44C22F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hAnsi="Times New Roman" w:cs="Times New Roman"/>
          <w:sz w:val="28"/>
          <w:szCs w:val="28"/>
        </w:rPr>
        <w:t>4.</w:t>
      </w: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Пациенту назначается диета с ограничением поступающего с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пищеи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>̆ натрия до 4,6-6,9 г соли в день, что означает приготовление пищи без добавления соли.</w:t>
      </w:r>
    </w:p>
    <w:p w14:paraId="6BDA6308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В дополнение к диете назначается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спиронолактон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(верошпирон) в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начальнои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̆ дозировке 50-200 мг/сутки или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амилорид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5-10 мг/сутки. Увеличение дозы верошпирона осуществляется постепенно: шаг – 100 мг в 7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днеи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>̆. Максимальная доза верошпирона составляет 400 мг в сутки.</w:t>
      </w:r>
    </w:p>
    <w:p w14:paraId="34162191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Критерий эффективности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проводимои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>̆ терапии: уменьшение массы тела не менее, чем на 2 кг в неделю.</w:t>
      </w:r>
    </w:p>
    <w:p w14:paraId="501294A9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Неэффективность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монотерапии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верошпироном или развитие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гиперкалиемии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служит основанием для добавления фуросемида.</w:t>
      </w:r>
    </w:p>
    <w:p w14:paraId="73DE0131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Больным назначается комбинированная терапия: верошпирон + фуросемид. Начальная доза фуросемида (40 мг в сутки) постепенно увеличивается на 40 мг каждые 7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днеи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̆ до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максимальнои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̆ дозы 160 мг/сутки. Верошпирон назначается в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максимальнои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̆ дозе 400 мг/сутки, в случае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гиперкалиемии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максимально допустимая доза. Максимальное уменьшение массы тела для пациентов с асцитом без периферических отеков составляет 0,5 кг в день; для пациентов с асцитом и периферическими отеками – 1 кг в день.</w:t>
      </w:r>
    </w:p>
    <w:p w14:paraId="26E0A0ED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диуретическая терапия должна проводиться при обязательном тщательном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мониторировании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состояния больного: его уровня сознания и контроля уровня электролитов сыворотки крови (натрий и калий). Снижение концентрации сывороточного натрия менее 120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ммоль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/л, прогрессирующая почечная недостаточность и углубление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печеночнои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̆ энцефалопатии служат показанием для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срочнои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̆ отмены диуретиков. При снижении уровня сывороточного калия менее 3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ммоль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/л пациенту следует отменить фуросемид; при повышении уровня калия выше 6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ммоль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>/л – отменить верошпирон.</w:t>
      </w:r>
    </w:p>
    <w:p w14:paraId="128A5BC6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hAnsi="Times New Roman" w:cs="Times New Roman"/>
          <w:sz w:val="28"/>
          <w:szCs w:val="28"/>
        </w:rPr>
        <w:t>5.</w:t>
      </w: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Алкоголь. Почти всегда развитию алкогольного цирроза предшествует употребление алкоголя в течение более 5 лет в токсических дозах.</w:t>
      </w:r>
    </w:p>
    <w:p w14:paraId="60EF6CD5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Иммунные нарушения:</w:t>
      </w:r>
    </w:p>
    <w:p w14:paraId="5C2F002B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- аутоиммунный гепатит (заболевание, при котором иммунная система организма начинает атаковать собственные клетки печени);</w:t>
      </w:r>
    </w:p>
    <w:p w14:paraId="122654D4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- первичный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билиарный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цирроз (аутоиммунное поражение желчных протоков).</w:t>
      </w:r>
    </w:p>
    <w:p w14:paraId="63910F5F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Заболевания желчных путей:</w:t>
      </w:r>
    </w:p>
    <w:p w14:paraId="4F079EDB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- внепеченочная обструкция (закупорка) желчных путей;</w:t>
      </w:r>
    </w:p>
    <w:p w14:paraId="72660E3F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- первичный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склерозирующий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холангит (воспаление и образование рубцовой ткани в желчных путях);</w:t>
      </w:r>
    </w:p>
    <w:p w14:paraId="503D8D28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- желчнокаменная болезнь (образование камней в желчном пузыре).</w:t>
      </w:r>
    </w:p>
    <w:p w14:paraId="645D248D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Токсический гепатит (поражение ткани печени в результате действия лекарственных препаратов, ядов, токсинов, химикатов).</w:t>
      </w:r>
    </w:p>
    <w:p w14:paraId="64501A13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CD6A81">
        <w:rPr>
          <w:rFonts w:ascii="Times New Roman" w:eastAsia="Times New Roman" w:hAnsi="Times New Roman" w:cs="Times New Roman"/>
          <w:sz w:val="28"/>
          <w:szCs w:val="28"/>
        </w:rPr>
        <w:t>Бадда-Киари</w:t>
      </w:r>
      <w:proofErr w:type="spellEnd"/>
      <w:r w:rsidRPr="00CD6A81">
        <w:rPr>
          <w:rFonts w:ascii="Times New Roman" w:eastAsia="Times New Roman" w:hAnsi="Times New Roman" w:cs="Times New Roman"/>
          <w:sz w:val="28"/>
          <w:szCs w:val="28"/>
        </w:rPr>
        <w:t xml:space="preserve"> (возникновение венозного застоя в печени).</w:t>
      </w:r>
    </w:p>
    <w:p w14:paraId="70053779" w14:textId="77777777" w:rsidR="00220301" w:rsidRPr="00CD6A81" w:rsidRDefault="00220301" w:rsidP="00CD6A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A81">
        <w:rPr>
          <w:rFonts w:ascii="Times New Roman" w:eastAsia="Times New Roman" w:hAnsi="Times New Roman" w:cs="Times New Roman"/>
          <w:sz w:val="28"/>
          <w:szCs w:val="28"/>
        </w:rPr>
        <w:t>Некоторые наследственные заболевания (к примеру, болезнь Вильсона-Коновалова (заболевание, при котором в печени накапливается медь из-за дефекта в её обмене веществ)).</w:t>
      </w:r>
      <w:bookmarkStart w:id="0" w:name="_GoBack"/>
      <w:bookmarkEnd w:id="0"/>
    </w:p>
    <w:sectPr w:rsidR="00220301" w:rsidRPr="00CD6A81" w:rsidSect="007A16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9E0"/>
    <w:multiLevelType w:val="hybridMultilevel"/>
    <w:tmpl w:val="BC605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01"/>
    <w:rsid w:val="00220301"/>
    <w:rsid w:val="007A16D3"/>
    <w:rsid w:val="00A24835"/>
    <w:rsid w:val="00CD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41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01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3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030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01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3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030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2738</Words>
  <Characters>15613</Characters>
  <Application>Microsoft Macintosh Word</Application>
  <DocSecurity>0</DocSecurity>
  <Lines>130</Lines>
  <Paragraphs>36</Paragraphs>
  <ScaleCrop>false</ScaleCrop>
  <Company/>
  <LinksUpToDate>false</LinksUpToDate>
  <CharactersWithSpaces>18315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2</cp:revision>
  <dcterms:created xsi:type="dcterms:W3CDTF">2018-12-14T19:32:00Z</dcterms:created>
  <dcterms:modified xsi:type="dcterms:W3CDTF">2018-12-14T19:47:00Z</dcterms:modified>
</cp:coreProperties>
</file>