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F12A" w14:textId="77777777" w:rsidR="00D90AC9" w:rsidRPr="00C7280B" w:rsidRDefault="00D90AC9" w:rsidP="009F6BC3">
      <w:pPr>
        <w:spacing w:line="276" w:lineRule="auto"/>
        <w:ind w:left="3969"/>
        <w:rPr>
          <w:rFonts w:eastAsia="Calibri"/>
        </w:rPr>
      </w:pPr>
      <w:r w:rsidRPr="00C7280B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1B71CA60" w14:textId="77777777" w:rsidR="00D90AC9" w:rsidRPr="00C7280B" w:rsidRDefault="00D90AC9" w:rsidP="009F6BC3">
      <w:pPr>
        <w:rPr>
          <w:b/>
          <w:sz w:val="26"/>
          <w:szCs w:val="26"/>
        </w:rPr>
      </w:pPr>
      <w:r w:rsidRPr="00C7280B">
        <w:rPr>
          <w:b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14:paraId="776D90D9" w14:textId="77777777" w:rsidR="00D90AC9" w:rsidRPr="00C7280B" w:rsidRDefault="00D90AC9" w:rsidP="00D90AC9">
      <w:pPr>
        <w:rPr>
          <w:b/>
        </w:rPr>
      </w:pPr>
      <w:r w:rsidRPr="00C7280B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1A23AC" w:rsidRPr="00567737" w14:paraId="4A291FD6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11AFB30" w14:textId="77777777" w:rsidR="001A23AC" w:rsidRPr="00567737" w:rsidRDefault="001A23AC" w:rsidP="00DA4D0F">
            <w:pPr>
              <w:spacing w:after="0"/>
              <w:rPr>
                <w:color w:val="000000"/>
              </w:rPr>
            </w:pPr>
            <w:r w:rsidRPr="00567737"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shd w:val="clear" w:color="auto" w:fill="auto"/>
            <w:noWrap/>
          </w:tcPr>
          <w:p w14:paraId="13233EB3" w14:textId="77777777" w:rsidR="001A23AC" w:rsidRPr="00567737" w:rsidRDefault="001A23AC" w:rsidP="00DA4D0F">
            <w:pPr>
              <w:spacing w:after="0"/>
              <w:jc w:val="left"/>
              <w:rPr>
                <w:color w:val="000000"/>
              </w:rPr>
            </w:pPr>
            <w:r w:rsidRPr="00567737">
              <w:rPr>
                <w:color w:val="000000"/>
              </w:rPr>
              <w:t>ФГАОУ ВО Первый МГМУ им. И.М. Сеченова Минздрава России (Сеченовский Университет)</w:t>
            </w:r>
          </w:p>
        </w:tc>
      </w:tr>
      <w:tr w:rsidR="001A23AC" w:rsidRPr="00567737" w14:paraId="07FB1670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26B7212C" w14:textId="77777777" w:rsidR="001A23AC" w:rsidRPr="00567737" w:rsidRDefault="001A23AC" w:rsidP="00DA4D0F">
            <w:pPr>
              <w:spacing w:after="0"/>
              <w:rPr>
                <w:color w:val="000000"/>
              </w:rPr>
            </w:pPr>
            <w:r w:rsidRPr="00567737">
              <w:t>Уровень владения английским языком</w:t>
            </w:r>
          </w:p>
        </w:tc>
        <w:tc>
          <w:tcPr>
            <w:tcW w:w="6552" w:type="dxa"/>
            <w:shd w:val="clear" w:color="auto" w:fill="auto"/>
            <w:noWrap/>
          </w:tcPr>
          <w:p w14:paraId="5A8052F3" w14:textId="4E252D0E" w:rsidR="001A23AC" w:rsidRPr="00567737" w:rsidRDefault="00567737" w:rsidP="00DA4D0F">
            <w:pPr>
              <w:spacing w:after="0"/>
              <w:jc w:val="left"/>
              <w:rPr>
                <w:color w:val="000000"/>
              </w:rPr>
            </w:pPr>
            <w:r w:rsidRPr="00567737">
              <w:rPr>
                <w:color w:val="000000"/>
              </w:rPr>
              <w:t>Свободный</w:t>
            </w:r>
          </w:p>
        </w:tc>
      </w:tr>
      <w:tr w:rsidR="001A23AC" w:rsidRPr="00567737" w14:paraId="19ECB8B2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6987837" w14:textId="77777777" w:rsidR="001A23AC" w:rsidRPr="00567737" w:rsidRDefault="001A23AC" w:rsidP="00DA4D0F">
            <w:pPr>
              <w:spacing w:after="0"/>
              <w:rPr>
                <w:color w:val="000000"/>
              </w:rPr>
            </w:pPr>
            <w:r w:rsidRPr="00567737">
              <w:rPr>
                <w:color w:val="000000"/>
              </w:rPr>
              <w:t>Направление подготовки, на которое будет приниматься аспирант</w:t>
            </w:r>
          </w:p>
        </w:tc>
        <w:tc>
          <w:tcPr>
            <w:tcW w:w="6552" w:type="dxa"/>
            <w:shd w:val="clear" w:color="auto" w:fill="auto"/>
            <w:noWrap/>
          </w:tcPr>
          <w:p w14:paraId="6248B24A" w14:textId="2CC004EA" w:rsidR="001A23AC" w:rsidRPr="00567737" w:rsidRDefault="00991615" w:rsidP="00DA4D0F">
            <w:pPr>
              <w:spacing w:after="0"/>
              <w:jc w:val="left"/>
              <w:rPr>
                <w:color w:val="000000"/>
              </w:rPr>
            </w:pPr>
            <w:r>
              <w:t xml:space="preserve">3.02 </w:t>
            </w:r>
            <w:r w:rsidR="00567737" w:rsidRPr="00567737">
              <w:t>Клиническая медицина</w:t>
            </w:r>
            <w:r>
              <w:t>, Онкология</w:t>
            </w:r>
          </w:p>
        </w:tc>
      </w:tr>
      <w:tr w:rsidR="001A23AC" w:rsidRPr="00567737" w14:paraId="618D98D9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29764926" w14:textId="77777777" w:rsidR="001A23AC" w:rsidRPr="00567737" w:rsidRDefault="001A23AC" w:rsidP="00DA4D0F">
            <w:pPr>
              <w:spacing w:after="0"/>
              <w:jc w:val="left"/>
            </w:pPr>
            <w:r w:rsidRPr="00567737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552" w:type="dxa"/>
            <w:shd w:val="clear" w:color="auto" w:fill="auto"/>
            <w:noWrap/>
          </w:tcPr>
          <w:p w14:paraId="63AF9254" w14:textId="473FD823" w:rsidR="001A23AC" w:rsidRPr="00567737" w:rsidRDefault="001A23AC" w:rsidP="00567737">
            <w:pPr>
              <w:spacing w:after="0"/>
              <w:jc w:val="left"/>
            </w:pPr>
            <w:r w:rsidRPr="00567737">
              <w:t xml:space="preserve">Персонализированная онкология, </w:t>
            </w:r>
            <w:proofErr w:type="spellStart"/>
            <w:r w:rsidRPr="00567737">
              <w:t>таргетная</w:t>
            </w:r>
            <w:proofErr w:type="spellEnd"/>
            <w:r w:rsidRPr="00567737">
              <w:t xml:space="preserve"> терапия</w:t>
            </w:r>
            <w:r w:rsidR="00DA4D0F" w:rsidRPr="00567737">
              <w:t>, ранняя диагностика рака</w:t>
            </w:r>
          </w:p>
        </w:tc>
      </w:tr>
      <w:tr w:rsidR="001A23AC" w:rsidRPr="00567737" w14:paraId="20DC39E8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102DB219" w14:textId="77777777" w:rsidR="001A23AC" w:rsidRPr="00567737" w:rsidRDefault="001A23AC" w:rsidP="00DA4D0F">
            <w:pPr>
              <w:spacing w:after="0"/>
              <w:jc w:val="left"/>
            </w:pPr>
            <w:r w:rsidRPr="00567737">
              <w:t>Перечень возможных тем для исследования</w:t>
            </w:r>
          </w:p>
        </w:tc>
        <w:tc>
          <w:tcPr>
            <w:tcW w:w="6552" w:type="dxa"/>
            <w:shd w:val="clear" w:color="auto" w:fill="auto"/>
            <w:noWrap/>
          </w:tcPr>
          <w:p w14:paraId="441626D3" w14:textId="6D68918E" w:rsidR="001A23AC" w:rsidRPr="00567737" w:rsidRDefault="00567737" w:rsidP="00567737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Темы разрабатываются в рамках научного интереса кандидата и руководителя</w:t>
            </w:r>
          </w:p>
        </w:tc>
      </w:tr>
      <w:tr w:rsidR="001A23AC" w:rsidRPr="00567737" w14:paraId="5D79CA38" w14:textId="77777777" w:rsidTr="003B67E6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3BA6372C" w14:textId="77777777" w:rsidR="001A23AC" w:rsidRPr="00567737" w:rsidRDefault="001A23AC" w:rsidP="00DA4D0F">
            <w:pPr>
              <w:spacing w:after="0"/>
              <w:rPr>
                <w:color w:val="000000"/>
              </w:rPr>
            </w:pPr>
            <w:r w:rsidRPr="00567737">
              <w:rPr>
                <w:color w:val="000000"/>
                <w:lang w:val="en-US"/>
              </w:rPr>
              <w:t> </w:t>
            </w:r>
          </w:p>
          <w:p w14:paraId="729F6E2B" w14:textId="77777777" w:rsidR="001A23AC" w:rsidRPr="00567737" w:rsidRDefault="001A23AC" w:rsidP="00DA4D0F">
            <w:pPr>
              <w:spacing w:after="0"/>
              <w:rPr>
                <w:color w:val="000000"/>
              </w:rPr>
            </w:pPr>
          </w:p>
          <w:p w14:paraId="695269FE" w14:textId="77777777" w:rsidR="001A23AC" w:rsidRPr="00567737" w:rsidRDefault="001A23AC" w:rsidP="00DA4D0F">
            <w:pPr>
              <w:spacing w:after="0"/>
              <w:rPr>
                <w:color w:val="000000"/>
                <w:lang w:val="en-US"/>
              </w:rPr>
            </w:pPr>
            <w:r w:rsidRPr="00567737">
              <w:rPr>
                <w:noProof/>
                <w:color w:val="000000"/>
                <w:lang w:val="en-US"/>
              </w:rPr>
              <w:drawing>
                <wp:inline distT="0" distB="0" distL="0" distR="0" wp14:anchorId="15BC7AB6" wp14:editId="7ABC5F25">
                  <wp:extent cx="1916441" cy="2552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01" cy="256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93794" w14:textId="77777777" w:rsidR="001A23AC" w:rsidRPr="00567737" w:rsidRDefault="001A23AC" w:rsidP="00DA4D0F">
            <w:pPr>
              <w:spacing w:after="0"/>
              <w:rPr>
                <w:lang w:val="en-US"/>
              </w:rPr>
            </w:pPr>
          </w:p>
          <w:p w14:paraId="30795CBD" w14:textId="7990E8CC" w:rsidR="001A23AC" w:rsidRPr="00567737" w:rsidRDefault="00173434" w:rsidP="00DA4D0F">
            <w:pPr>
              <w:spacing w:after="0"/>
            </w:pPr>
            <w:r w:rsidRPr="00567737">
              <w:t xml:space="preserve">Секачева Марина Игоревна, </w:t>
            </w:r>
            <w:r w:rsidR="00567737">
              <w:t>Доктор медицинских наук</w:t>
            </w:r>
            <w:r w:rsidRPr="00567737">
              <w:t>, Сеченовский Университет</w:t>
            </w:r>
          </w:p>
        </w:tc>
        <w:tc>
          <w:tcPr>
            <w:tcW w:w="6552" w:type="dxa"/>
            <w:shd w:val="clear" w:color="auto" w:fill="auto"/>
            <w:noWrap/>
          </w:tcPr>
          <w:p w14:paraId="3AE77B81" w14:textId="745CD73A" w:rsidR="001A23AC" w:rsidRPr="00567737" w:rsidRDefault="00991615" w:rsidP="00DA4D0F">
            <w:pPr>
              <w:spacing w:after="0"/>
              <w:jc w:val="center"/>
              <w:rPr>
                <w:color w:val="000000"/>
              </w:rPr>
            </w:pPr>
            <w:r>
              <w:t xml:space="preserve">3.02 </w:t>
            </w:r>
            <w:r w:rsidRPr="00567737">
              <w:t>Клиническая медицина</w:t>
            </w:r>
            <w:r>
              <w:t>, Онкология</w:t>
            </w:r>
            <w:r>
              <w:rPr>
                <w:color w:val="000000"/>
              </w:rPr>
              <w:br/>
            </w:r>
            <w:r w:rsidR="009312F0" w:rsidRPr="00567737">
              <w:rPr>
                <w:color w:val="000000"/>
              </w:rPr>
              <w:t>Персонализированная онкология</w:t>
            </w:r>
          </w:p>
        </w:tc>
      </w:tr>
      <w:tr w:rsidR="001A23AC" w:rsidRPr="00567737" w14:paraId="24C2C9F6" w14:textId="77777777" w:rsidTr="003B67E6">
        <w:trPr>
          <w:trHeight w:val="802"/>
        </w:trPr>
        <w:tc>
          <w:tcPr>
            <w:tcW w:w="3371" w:type="dxa"/>
            <w:vMerge/>
            <w:noWrap/>
            <w:hideMark/>
          </w:tcPr>
          <w:p w14:paraId="244FB5B0" w14:textId="77777777" w:rsidR="001A23AC" w:rsidRPr="00567737" w:rsidRDefault="001A23AC" w:rsidP="00DA4D0F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843D751" w14:textId="2F959E53" w:rsidR="00B66C4B" w:rsidRPr="00567737" w:rsidRDefault="00B66C4B" w:rsidP="00DA4D0F">
            <w:pPr>
              <w:spacing w:after="0"/>
            </w:pPr>
            <w:r w:rsidRPr="00567737">
              <w:t>Научные интересы научного руководителя:</w:t>
            </w:r>
          </w:p>
          <w:p w14:paraId="6DA8193D" w14:textId="77777777" w:rsidR="00B66C4B" w:rsidRPr="00567737" w:rsidRDefault="00B66C4B" w:rsidP="00DA4D0F">
            <w:pPr>
              <w:spacing w:after="0"/>
            </w:pPr>
            <w:r w:rsidRPr="00567737">
              <w:t>Персонализированная онкология (</w:t>
            </w:r>
            <w:proofErr w:type="spellStart"/>
            <w:r w:rsidRPr="00567737">
              <w:t>таргетные</w:t>
            </w:r>
            <w:proofErr w:type="spellEnd"/>
            <w:r w:rsidRPr="00567737">
              <w:t xml:space="preserve"> препараты, </w:t>
            </w:r>
            <w:proofErr w:type="spellStart"/>
            <w:r w:rsidRPr="00567737">
              <w:t>иммуноонкология</w:t>
            </w:r>
            <w:proofErr w:type="spellEnd"/>
            <w:r w:rsidRPr="00567737">
              <w:t>)</w:t>
            </w:r>
          </w:p>
          <w:p w14:paraId="7516BD5E" w14:textId="77777777" w:rsidR="00DA4D0F" w:rsidRPr="00567737" w:rsidRDefault="00B66C4B" w:rsidP="00DA4D0F">
            <w:pPr>
              <w:spacing w:after="0"/>
            </w:pPr>
            <w:r w:rsidRPr="00567737">
              <w:t xml:space="preserve">Патология </w:t>
            </w:r>
          </w:p>
          <w:p w14:paraId="64DD18B1" w14:textId="312F0D1C" w:rsidR="00B66C4B" w:rsidRPr="00567737" w:rsidRDefault="00B66C4B" w:rsidP="00DA4D0F">
            <w:pPr>
              <w:spacing w:after="0"/>
            </w:pPr>
            <w:r w:rsidRPr="00567737">
              <w:t>Генетика</w:t>
            </w:r>
          </w:p>
          <w:p w14:paraId="11092EEC" w14:textId="77777777" w:rsidR="00B66C4B" w:rsidRPr="00567737" w:rsidRDefault="00B66C4B" w:rsidP="00DA4D0F">
            <w:pPr>
              <w:spacing w:after="0"/>
            </w:pPr>
            <w:r w:rsidRPr="00567737">
              <w:t>Профилактика рака</w:t>
            </w:r>
          </w:p>
          <w:p w14:paraId="2859C770" w14:textId="2747A912" w:rsidR="00B66C4B" w:rsidRPr="00567737" w:rsidRDefault="009312F0" w:rsidP="00DA4D0F">
            <w:pPr>
              <w:spacing w:after="0"/>
            </w:pPr>
            <w:r w:rsidRPr="00567737">
              <w:t xml:space="preserve">Программы </w:t>
            </w:r>
            <w:r w:rsidR="00B66C4B" w:rsidRPr="00567737">
              <w:t>по укреплению здоровья</w:t>
            </w:r>
          </w:p>
          <w:p w14:paraId="1744D3E7" w14:textId="77777777" w:rsidR="00B66C4B" w:rsidRPr="00567737" w:rsidRDefault="00B66C4B" w:rsidP="00DA4D0F">
            <w:pPr>
              <w:spacing w:after="0"/>
            </w:pPr>
            <w:r w:rsidRPr="00567737">
              <w:t>Программы иммунизации (противораковые)</w:t>
            </w:r>
          </w:p>
          <w:p w14:paraId="2BF9AF32" w14:textId="34234AF5" w:rsidR="001A23AC" w:rsidRPr="00567737" w:rsidRDefault="009312F0" w:rsidP="00DA4D0F">
            <w:pPr>
              <w:spacing w:after="0"/>
              <w:rPr>
                <w:color w:val="000000"/>
              </w:rPr>
            </w:pPr>
            <w:r w:rsidRPr="00567737">
              <w:t>У</w:t>
            </w:r>
            <w:r w:rsidR="00B66C4B" w:rsidRPr="00567737">
              <w:t>правление здоровьем</w:t>
            </w:r>
          </w:p>
        </w:tc>
      </w:tr>
      <w:tr w:rsidR="001A23AC" w:rsidRPr="00567737" w14:paraId="37C687FE" w14:textId="77777777" w:rsidTr="003B67E6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5FCAB011" w14:textId="77777777" w:rsidR="001A23AC" w:rsidRPr="00567737" w:rsidRDefault="001A23AC" w:rsidP="00DA4D0F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1F63DA76" w14:textId="6D388B00" w:rsidR="00B66C4B" w:rsidRPr="00567737" w:rsidRDefault="00DA4D0F" w:rsidP="00DA4D0F">
            <w:pPr>
              <w:spacing w:after="0"/>
              <w:rPr>
                <w:color w:val="000000"/>
              </w:rPr>
            </w:pPr>
            <w:r w:rsidRPr="00567737">
              <w:rPr>
                <w:color w:val="000000"/>
              </w:rPr>
              <w:t>Основные</w:t>
            </w:r>
            <w:r w:rsidR="00B66C4B" w:rsidRPr="00567737">
              <w:rPr>
                <w:color w:val="000000"/>
              </w:rPr>
              <w:t>:</w:t>
            </w:r>
          </w:p>
          <w:p w14:paraId="54C09551" w14:textId="01790CA0" w:rsidR="00B66C4B" w:rsidRPr="00567737" w:rsidRDefault="00B66C4B" w:rsidP="00DA4D0F">
            <w:pPr>
              <w:spacing w:after="0"/>
              <w:rPr>
                <w:color w:val="000000"/>
              </w:rPr>
            </w:pPr>
            <w:r w:rsidRPr="00567737">
              <w:rPr>
                <w:color w:val="000000"/>
              </w:rPr>
              <w:t xml:space="preserve">- 2009-2016: </w:t>
            </w:r>
            <w:r w:rsidR="00DA4D0F" w:rsidRPr="00567737">
              <w:rPr>
                <w:color w:val="000000"/>
              </w:rPr>
              <w:t>у</w:t>
            </w:r>
            <w:r w:rsidRPr="00567737">
              <w:rPr>
                <w:color w:val="000000"/>
              </w:rPr>
              <w:t>ченый секретарь ФГБНУ «</w:t>
            </w:r>
            <w:r w:rsidR="00146DDA" w:rsidRPr="00567737">
              <w:rPr>
                <w:color w:val="000000"/>
              </w:rPr>
              <w:t>РНЦХ им. акад. Б.В. Петровского</w:t>
            </w:r>
            <w:r w:rsidRPr="00567737">
              <w:rPr>
                <w:color w:val="000000"/>
              </w:rPr>
              <w:t>», Москва, Россия.</w:t>
            </w:r>
          </w:p>
          <w:p w14:paraId="7B2D23F5" w14:textId="01661D86" w:rsidR="00B66C4B" w:rsidRPr="00567737" w:rsidRDefault="00B66C4B" w:rsidP="00DA4D0F">
            <w:pPr>
              <w:spacing w:after="0"/>
              <w:rPr>
                <w:color w:val="000000"/>
              </w:rPr>
            </w:pPr>
            <w:r w:rsidRPr="00567737">
              <w:rPr>
                <w:color w:val="000000"/>
              </w:rPr>
              <w:t>- 2017</w:t>
            </w:r>
            <w:r w:rsidR="00DA4D0F" w:rsidRPr="00567737">
              <w:rPr>
                <w:color w:val="000000"/>
              </w:rPr>
              <w:t xml:space="preserve"> – </w:t>
            </w:r>
            <w:r w:rsidRPr="00567737">
              <w:rPr>
                <w:color w:val="000000"/>
              </w:rPr>
              <w:t>настоящее</w:t>
            </w:r>
            <w:r w:rsidR="00DA4D0F" w:rsidRPr="00567737">
              <w:rPr>
                <w:color w:val="000000"/>
              </w:rPr>
              <w:t xml:space="preserve"> </w:t>
            </w:r>
            <w:r w:rsidRPr="00567737">
              <w:rPr>
                <w:color w:val="000000"/>
              </w:rPr>
              <w:t xml:space="preserve">время: </w:t>
            </w:r>
            <w:r w:rsidR="00DA4D0F" w:rsidRPr="00567737">
              <w:rPr>
                <w:color w:val="000000"/>
              </w:rPr>
              <w:t>директор</w:t>
            </w:r>
            <w:r w:rsidRPr="00567737">
              <w:rPr>
                <w:color w:val="000000"/>
              </w:rPr>
              <w:t xml:space="preserve"> Института персонализированной онкологии </w:t>
            </w:r>
            <w:r w:rsidR="00DA4D0F" w:rsidRPr="00567737">
              <w:rPr>
                <w:color w:val="000000"/>
              </w:rPr>
              <w:t xml:space="preserve">Центра «Цифровой биодизайн и персонализированное здравоохранение» </w:t>
            </w:r>
            <w:r w:rsidRPr="00567737">
              <w:rPr>
                <w:color w:val="000000"/>
              </w:rPr>
              <w:t>Сеченовского университета.</w:t>
            </w:r>
          </w:p>
          <w:p w14:paraId="0DC95E8D" w14:textId="77777777" w:rsidR="00B66C4B" w:rsidRPr="00567737" w:rsidRDefault="00B66C4B" w:rsidP="00DA4D0F">
            <w:pPr>
              <w:spacing w:after="0"/>
              <w:rPr>
                <w:color w:val="000000"/>
              </w:rPr>
            </w:pPr>
          </w:p>
          <w:p w14:paraId="07007649" w14:textId="009B98B7" w:rsidR="001A23AC" w:rsidRPr="00567737" w:rsidRDefault="00B66C4B" w:rsidP="00957BBA">
            <w:pPr>
              <w:spacing w:after="0"/>
              <w:rPr>
                <w:i/>
                <w:iCs/>
              </w:rPr>
            </w:pPr>
            <w:r w:rsidRPr="00567737">
              <w:rPr>
                <w:color w:val="000000"/>
              </w:rPr>
              <w:t xml:space="preserve">«Персонализированная онкология важна по </w:t>
            </w:r>
            <w:r w:rsidR="00684B4C" w:rsidRPr="00567737">
              <w:rPr>
                <w:color w:val="000000"/>
              </w:rPr>
              <w:t>нескольким</w:t>
            </w:r>
            <w:r w:rsidRPr="00567737">
              <w:rPr>
                <w:color w:val="000000"/>
              </w:rPr>
              <w:t xml:space="preserve"> причинам.</w:t>
            </w:r>
            <w:r w:rsidR="00957BBA" w:rsidRPr="00567737">
              <w:rPr>
                <w:color w:val="000000"/>
              </w:rPr>
              <w:t xml:space="preserve"> </w:t>
            </w:r>
            <w:r w:rsidRPr="00567737">
              <w:rPr>
                <w:color w:val="000000"/>
              </w:rPr>
              <w:t xml:space="preserve">Ранняя диагностика позволит </w:t>
            </w:r>
            <w:r w:rsidR="00684B4C" w:rsidRPr="00567737">
              <w:rPr>
                <w:color w:val="000000"/>
              </w:rPr>
              <w:t xml:space="preserve">эффективно </w:t>
            </w:r>
            <w:r w:rsidRPr="00567737">
              <w:rPr>
                <w:color w:val="000000"/>
              </w:rPr>
              <w:t>бороться с онкологическим</w:t>
            </w:r>
            <w:r w:rsidR="00684B4C" w:rsidRPr="00567737">
              <w:rPr>
                <w:color w:val="000000"/>
              </w:rPr>
              <w:t>и</w:t>
            </w:r>
            <w:r w:rsidRPr="00567737">
              <w:rPr>
                <w:color w:val="000000"/>
              </w:rPr>
              <w:t xml:space="preserve"> заболевани</w:t>
            </w:r>
            <w:r w:rsidR="00684B4C" w:rsidRPr="00567737">
              <w:rPr>
                <w:color w:val="000000"/>
              </w:rPr>
              <w:t>ями</w:t>
            </w:r>
            <w:r w:rsidRPr="00567737">
              <w:rPr>
                <w:color w:val="000000"/>
              </w:rPr>
              <w:t>.</w:t>
            </w:r>
            <w:r w:rsidR="00684B4C" w:rsidRPr="00567737">
              <w:rPr>
                <w:color w:val="000000"/>
              </w:rPr>
              <w:t xml:space="preserve"> </w:t>
            </w:r>
            <w:r w:rsidRPr="00567737">
              <w:rPr>
                <w:color w:val="000000"/>
              </w:rPr>
              <w:t>Во-вторых, противоопухолевые препараты обладают большим спектром побочных эффектов.</w:t>
            </w:r>
            <w:r w:rsidR="00957BBA" w:rsidRPr="00567737">
              <w:rPr>
                <w:color w:val="000000"/>
              </w:rPr>
              <w:t xml:space="preserve"> </w:t>
            </w:r>
            <w:r w:rsidR="009A676C" w:rsidRPr="00567737">
              <w:rPr>
                <w:color w:val="000000"/>
              </w:rPr>
              <w:t>Важно учитывать индивидуальные особенности каждого пациента, чтобы принести максимальную пользу и нанести минимум вреда.</w:t>
            </w:r>
            <w:r w:rsidR="00957BBA" w:rsidRPr="00567737">
              <w:rPr>
                <w:color w:val="000000"/>
              </w:rPr>
              <w:t xml:space="preserve"> </w:t>
            </w:r>
            <w:r w:rsidR="009A676C" w:rsidRPr="00567737">
              <w:rPr>
                <w:color w:val="000000"/>
              </w:rPr>
              <w:t>В-третьих, ранняя диагностика и оптимизация стратегий лечения существенно снизят нагрузку на систему здравоохранения.</w:t>
            </w:r>
          </w:p>
        </w:tc>
      </w:tr>
      <w:tr w:rsidR="00567737" w:rsidRPr="00D90AC9" w14:paraId="7ABC922C" w14:textId="77777777" w:rsidTr="003B67E6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65BDAF6" w14:textId="77777777" w:rsidR="00567737" w:rsidRPr="00567737" w:rsidRDefault="00567737" w:rsidP="00DA4D0F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BCF58FC" w14:textId="77777777" w:rsidR="00567737" w:rsidRPr="00567737" w:rsidRDefault="00567737" w:rsidP="00DA4D0F">
            <w:pPr>
              <w:spacing w:after="0"/>
              <w:rPr>
                <w:i/>
                <w:iCs/>
              </w:rPr>
            </w:pPr>
            <w:r w:rsidRPr="00567737">
              <w:rPr>
                <w:color w:val="000000"/>
              </w:rPr>
              <w:t xml:space="preserve">Общее количество публикаций </w:t>
            </w:r>
            <w:r w:rsidRPr="00567737">
              <w:t xml:space="preserve">в журналах, индексируемых Web </w:t>
            </w:r>
            <w:proofErr w:type="spellStart"/>
            <w:r w:rsidRPr="00567737">
              <w:t>of</w:t>
            </w:r>
            <w:proofErr w:type="spellEnd"/>
            <w:r w:rsidRPr="00567737">
              <w:t xml:space="preserve"> Science или </w:t>
            </w:r>
            <w:proofErr w:type="spellStart"/>
            <w:r w:rsidRPr="00567737">
              <w:t>Scopus</w:t>
            </w:r>
            <w:proofErr w:type="spellEnd"/>
            <w:r w:rsidRPr="00567737">
              <w:rPr>
                <w:color w:val="000000"/>
              </w:rPr>
              <w:t xml:space="preserve"> за последние 5 лет, написать до 5 наиболее значимых публикаций с указанием выходных данных:</w:t>
            </w:r>
            <w:r w:rsidRPr="00567737">
              <w:rPr>
                <w:i/>
                <w:iCs/>
              </w:rPr>
              <w:t xml:space="preserve"> </w:t>
            </w:r>
            <w:r w:rsidRPr="00567737">
              <w:t>19</w:t>
            </w:r>
          </w:p>
          <w:p w14:paraId="6C95A977" w14:textId="77777777" w:rsidR="00567737" w:rsidRPr="00567737" w:rsidRDefault="00567737" w:rsidP="00957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RNA sequencing profiles and diagnostic signatures linked with response to ramucirumab in gastric cancer. Sorokin, M.,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Poddubskaya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E., Baranova, M., ...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Sekacheva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Buzdin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 Cold Spring Harbor Molecular Case Studies, 2020, 6(2), 4945</w:t>
            </w:r>
          </w:p>
          <w:p w14:paraId="449325FA" w14:textId="77777777" w:rsidR="00567737" w:rsidRPr="00567737" w:rsidRDefault="00567737" w:rsidP="00957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Quantification of Scheduling Impact on Safety and Efficacy Outcomes of Brain Metastasis Radio- and Immuno-Therapies: A Systematic Review and Meta-Analysis. Voronova, V., Lebedeva, S.,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Sekacheva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M., Helmlinger, G.,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Peskov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 Frontiers in Oncology, 2020, 10,1609</w:t>
            </w:r>
          </w:p>
          <w:p w14:paraId="5C24C973" w14:textId="77777777" w:rsidR="00567737" w:rsidRPr="00567737" w:rsidRDefault="00567737" w:rsidP="00957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Disparity between inter-patient molecular heterogeneity and repertoires of target drugs used for different types of cancer in clinical oncology</w:t>
            </w:r>
          </w:p>
          <w:p w14:paraId="0A51349F" w14:textId="77777777" w:rsidR="00567737" w:rsidRPr="00567737" w:rsidRDefault="00567737" w:rsidP="00957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Zolotovskaia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M.A., Sorokin, M.I., Petrov, I.V., ...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Sekacheva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M,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Roumiantsev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S.A.,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Buzdin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A.International</w:t>
            </w:r>
            <w:proofErr w:type="spellEnd"/>
            <w:proofErr w:type="gram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 of Molecular Sciences, 2020, 21(5),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1–18, 1580</w:t>
            </w:r>
          </w:p>
          <w:p w14:paraId="1BCBF682" w14:textId="685C6431" w:rsidR="00567737" w:rsidRPr="00991615" w:rsidRDefault="00567737" w:rsidP="00567737">
            <w:pPr>
              <w:spacing w:after="0"/>
              <w:rPr>
                <w:color w:val="000000"/>
                <w:lang w:val="en-US"/>
              </w:rPr>
            </w:pPr>
            <w:r w:rsidRPr="00567737">
              <w:rPr>
                <w:lang w:val="en-US"/>
              </w:rPr>
              <w:t xml:space="preserve">RNA sequencing for research and diagnostics in clinical oncology. </w:t>
            </w:r>
            <w:proofErr w:type="spellStart"/>
            <w:r w:rsidRPr="00567737">
              <w:rPr>
                <w:lang w:val="en-US"/>
              </w:rPr>
              <w:t>Buzdin</w:t>
            </w:r>
            <w:proofErr w:type="spellEnd"/>
            <w:r w:rsidRPr="00567737">
              <w:rPr>
                <w:lang w:val="en-US"/>
              </w:rPr>
              <w:t xml:space="preserve">, A., Sorokin, M., </w:t>
            </w:r>
            <w:proofErr w:type="spellStart"/>
            <w:r w:rsidRPr="00567737">
              <w:rPr>
                <w:lang w:val="en-US"/>
              </w:rPr>
              <w:t>Garazha</w:t>
            </w:r>
            <w:proofErr w:type="spellEnd"/>
            <w:r w:rsidRPr="00567737">
              <w:rPr>
                <w:lang w:val="en-US"/>
              </w:rPr>
              <w:t xml:space="preserve">, A., ... </w:t>
            </w:r>
            <w:proofErr w:type="spellStart"/>
            <w:r w:rsidRPr="00567737">
              <w:rPr>
                <w:lang w:val="en-US"/>
              </w:rPr>
              <w:t>Sekacheva</w:t>
            </w:r>
            <w:proofErr w:type="spellEnd"/>
            <w:r w:rsidRPr="00567737">
              <w:rPr>
                <w:lang w:val="en-US"/>
              </w:rPr>
              <w:t xml:space="preserve">, </w:t>
            </w:r>
            <w:proofErr w:type="gramStart"/>
            <w:r w:rsidRPr="00567737">
              <w:rPr>
                <w:lang w:val="en-US"/>
              </w:rPr>
              <w:t>M ,</w:t>
            </w:r>
            <w:proofErr w:type="gramEnd"/>
            <w:r w:rsidRPr="00567737">
              <w:rPr>
                <w:lang w:val="en-US"/>
              </w:rPr>
              <w:t xml:space="preserve"> </w:t>
            </w:r>
            <w:proofErr w:type="spellStart"/>
            <w:r w:rsidRPr="00567737">
              <w:rPr>
                <w:lang w:val="en-US"/>
              </w:rPr>
              <w:t>Moshkovskii</w:t>
            </w:r>
            <w:proofErr w:type="spellEnd"/>
            <w:r w:rsidRPr="00567737">
              <w:rPr>
                <w:lang w:val="en-US"/>
              </w:rPr>
              <w:t xml:space="preserve">, S., Moiseev, A. Seminars in Cancer Biology, 2020, 60, </w:t>
            </w:r>
            <w:proofErr w:type="spellStart"/>
            <w:r w:rsidRPr="00567737">
              <w:t>стр</w:t>
            </w:r>
            <w:proofErr w:type="spellEnd"/>
            <w:r w:rsidRPr="00567737">
              <w:rPr>
                <w:lang w:val="en-US"/>
              </w:rPr>
              <w:t>. 311–323</w:t>
            </w:r>
          </w:p>
        </w:tc>
      </w:tr>
      <w:tr w:rsidR="00567737" w:rsidRPr="00567737" w14:paraId="3DAA250D" w14:textId="77777777" w:rsidTr="003B67E6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2F4094A0" w14:textId="77777777" w:rsidR="00567737" w:rsidRPr="00991615" w:rsidRDefault="00567737" w:rsidP="00DA4D0F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3738E70C" w14:textId="77777777" w:rsidR="00567737" w:rsidRPr="00567737" w:rsidRDefault="00567737" w:rsidP="00DA4D0F">
            <w:pPr>
              <w:spacing w:after="0"/>
              <w:rPr>
                <w:color w:val="000000"/>
                <w:lang w:val="en-US"/>
              </w:rPr>
            </w:pPr>
            <w:r w:rsidRPr="00567737">
              <w:rPr>
                <w:color w:val="000000"/>
              </w:rPr>
              <w:t>Интеллектуальная собственность</w:t>
            </w:r>
            <w:r w:rsidRPr="00567737">
              <w:rPr>
                <w:color w:val="000000"/>
                <w:lang w:val="en-US"/>
              </w:rPr>
              <w:t xml:space="preserve">: 6 </w:t>
            </w:r>
            <w:r w:rsidRPr="00567737">
              <w:rPr>
                <w:color w:val="000000"/>
              </w:rPr>
              <w:t>патентов</w:t>
            </w:r>
            <w:r w:rsidRPr="00567737">
              <w:rPr>
                <w:color w:val="000000"/>
                <w:lang w:val="en-US"/>
              </w:rPr>
              <w:t xml:space="preserve"> </w:t>
            </w:r>
          </w:p>
          <w:p w14:paraId="1D0488BC" w14:textId="77777777" w:rsidR="00567737" w:rsidRPr="00567737" w:rsidRDefault="00567737" w:rsidP="00684B4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67737">
              <w:rPr>
                <w:rFonts w:ascii="Times New Roman" w:hAnsi="Times New Roman" w:cs="Times New Roman"/>
                <w:sz w:val="24"/>
                <w:szCs w:val="24"/>
              </w:rPr>
              <w:t>Способ ранней диагностики рака легкого Патент на изобретение 2697971 от 21.08.2019</w:t>
            </w:r>
          </w:p>
          <w:p w14:paraId="51FE51D0" w14:textId="77777777" w:rsidR="00567737" w:rsidRPr="00567737" w:rsidRDefault="00567737" w:rsidP="00684B4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6773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 способ для скринингового определения вероятности наличия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</w:rPr>
              <w:t>колоректального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</w:rPr>
              <w:t xml:space="preserve"> рака Патент на изобретение 2698854 от 30.08.2019</w:t>
            </w:r>
          </w:p>
          <w:p w14:paraId="24957746" w14:textId="77777777" w:rsidR="00567737" w:rsidRPr="00567737" w:rsidRDefault="00567737" w:rsidP="00684B4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67737">
              <w:rPr>
                <w:rFonts w:ascii="Times New Roman" w:hAnsi="Times New Roman" w:cs="Times New Roman"/>
                <w:sz w:val="24"/>
                <w:szCs w:val="24"/>
              </w:rPr>
              <w:t xml:space="preserve">Способ скринингового определения вероятности наличия рака мочевого пузыря Патент на изобретение 2718272 от 01.04.2020 </w:t>
            </w:r>
          </w:p>
          <w:p w14:paraId="150D82B0" w14:textId="77777777" w:rsidR="00567737" w:rsidRPr="00567737" w:rsidRDefault="00567737" w:rsidP="00684B4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67737">
              <w:rPr>
                <w:rFonts w:ascii="Times New Roman" w:hAnsi="Times New Roman" w:cs="Times New Roman"/>
                <w:sz w:val="24"/>
                <w:szCs w:val="24"/>
              </w:rPr>
              <w:t xml:space="preserve">Способ скринингового определения вероятности наличия рака мочевого пузыря Патент на изобретение 2718284 от 01.04.2020 </w:t>
            </w:r>
          </w:p>
          <w:p w14:paraId="425B4DA3" w14:textId="77777777" w:rsidR="00567737" w:rsidRPr="00567737" w:rsidRDefault="00567737" w:rsidP="00957BB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567737">
              <w:rPr>
                <w:rFonts w:ascii="Times New Roman" w:hAnsi="Times New Roman" w:cs="Times New Roman"/>
                <w:sz w:val="24"/>
                <w:szCs w:val="24"/>
              </w:rPr>
              <w:t>Способ и система для скринингового определения вероятности наличия рака легкого Евразийский патент 037137 от 10.02.2021</w:t>
            </w:r>
          </w:p>
          <w:p w14:paraId="585E8892" w14:textId="43BE4CCB" w:rsidR="00567737" w:rsidRPr="00991615" w:rsidRDefault="00567737" w:rsidP="00957B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9" w:hanging="3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737">
              <w:rPr>
                <w:rFonts w:ascii="Times New Roman" w:hAnsi="Times New Roman" w:cs="Times New Roman"/>
                <w:sz w:val="24"/>
                <w:szCs w:val="24"/>
              </w:rPr>
              <w:t xml:space="preserve">Способ и система для скринингового определения вероятности наличия </w:t>
            </w:r>
            <w:proofErr w:type="spellStart"/>
            <w:r w:rsidRPr="00567737">
              <w:rPr>
                <w:rFonts w:ascii="Times New Roman" w:hAnsi="Times New Roman" w:cs="Times New Roman"/>
                <w:sz w:val="24"/>
                <w:szCs w:val="24"/>
              </w:rPr>
              <w:t>колоректального</w:t>
            </w:r>
            <w:proofErr w:type="spellEnd"/>
            <w:r w:rsidRPr="00567737">
              <w:rPr>
                <w:rFonts w:ascii="Times New Roman" w:hAnsi="Times New Roman" w:cs="Times New Roman"/>
                <w:sz w:val="24"/>
                <w:szCs w:val="24"/>
              </w:rPr>
              <w:t xml:space="preserve"> рака Евразийский патент 037176 от 15.02.2021 </w:t>
            </w:r>
          </w:p>
        </w:tc>
      </w:tr>
    </w:tbl>
    <w:p w14:paraId="1B18FFA2" w14:textId="66B6C8F1" w:rsidR="00C475E7" w:rsidRDefault="00C475E7" w:rsidP="001A23AC">
      <w:pPr>
        <w:spacing w:after="0"/>
        <w:jc w:val="left"/>
      </w:pPr>
    </w:p>
    <w:sectPr w:rsidR="00C475E7" w:rsidSect="00684B4C">
      <w:footerReference w:type="even" r:id="rId8"/>
      <w:footerReference w:type="default" r:id="rId9"/>
      <w:pgSz w:w="11900" w:h="16840"/>
      <w:pgMar w:top="709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430B" w14:textId="77777777" w:rsidR="007D331A" w:rsidRDefault="007D331A">
      <w:pPr>
        <w:spacing w:after="0"/>
      </w:pPr>
      <w:r>
        <w:separator/>
      </w:r>
    </w:p>
  </w:endnote>
  <w:endnote w:type="continuationSeparator" w:id="0">
    <w:p w14:paraId="16CB0C18" w14:textId="77777777" w:rsidR="007D331A" w:rsidRDefault="007D3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784EB3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360368FD" w14:textId="77777777"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2C5A" w14:textId="77777777" w:rsidR="007D331A" w:rsidRDefault="007D331A">
      <w:pPr>
        <w:spacing w:after="0"/>
      </w:pPr>
      <w:r>
        <w:separator/>
      </w:r>
    </w:p>
  </w:footnote>
  <w:footnote w:type="continuationSeparator" w:id="0">
    <w:p w14:paraId="34220A80" w14:textId="77777777" w:rsidR="007D331A" w:rsidRDefault="007D33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B40"/>
    <w:multiLevelType w:val="hybridMultilevel"/>
    <w:tmpl w:val="DCE8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902E5"/>
    <w:multiLevelType w:val="multilevel"/>
    <w:tmpl w:val="6446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358505">
    <w:abstractNumId w:val="0"/>
  </w:num>
  <w:num w:numId="2" w16cid:durableId="362053523">
    <w:abstractNumId w:val="1"/>
  </w:num>
  <w:num w:numId="3" w16cid:durableId="161882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7348D"/>
    <w:rsid w:val="000901D0"/>
    <w:rsid w:val="000C6EB3"/>
    <w:rsid w:val="00146DDA"/>
    <w:rsid w:val="00173434"/>
    <w:rsid w:val="001A23AC"/>
    <w:rsid w:val="001B3954"/>
    <w:rsid w:val="00305558"/>
    <w:rsid w:val="003E7976"/>
    <w:rsid w:val="003F58AD"/>
    <w:rsid w:val="00415F4A"/>
    <w:rsid w:val="004A1BB4"/>
    <w:rsid w:val="00567737"/>
    <w:rsid w:val="00574174"/>
    <w:rsid w:val="005A0E05"/>
    <w:rsid w:val="005B44F2"/>
    <w:rsid w:val="00614D2B"/>
    <w:rsid w:val="00657E98"/>
    <w:rsid w:val="00684B4C"/>
    <w:rsid w:val="006871A0"/>
    <w:rsid w:val="006D1128"/>
    <w:rsid w:val="00784EB3"/>
    <w:rsid w:val="00791150"/>
    <w:rsid w:val="007D331A"/>
    <w:rsid w:val="007D57B1"/>
    <w:rsid w:val="007F07F2"/>
    <w:rsid w:val="00843783"/>
    <w:rsid w:val="00877AD3"/>
    <w:rsid w:val="008D0736"/>
    <w:rsid w:val="008D20D8"/>
    <w:rsid w:val="008F6B77"/>
    <w:rsid w:val="009312F0"/>
    <w:rsid w:val="00957BBA"/>
    <w:rsid w:val="00991615"/>
    <w:rsid w:val="00997035"/>
    <w:rsid w:val="009A3E10"/>
    <w:rsid w:val="009A676C"/>
    <w:rsid w:val="00A222F3"/>
    <w:rsid w:val="00A3702F"/>
    <w:rsid w:val="00A85F6F"/>
    <w:rsid w:val="00AD01EB"/>
    <w:rsid w:val="00AE2D77"/>
    <w:rsid w:val="00B572F5"/>
    <w:rsid w:val="00B66C4B"/>
    <w:rsid w:val="00B756DB"/>
    <w:rsid w:val="00C475E7"/>
    <w:rsid w:val="00CB7DA5"/>
    <w:rsid w:val="00CC23DD"/>
    <w:rsid w:val="00CC4E04"/>
    <w:rsid w:val="00CD3349"/>
    <w:rsid w:val="00D012D4"/>
    <w:rsid w:val="00D90AC9"/>
    <w:rsid w:val="00DA4797"/>
    <w:rsid w:val="00DA4D0F"/>
    <w:rsid w:val="00DA61AA"/>
    <w:rsid w:val="00DD0582"/>
    <w:rsid w:val="00DD31EA"/>
    <w:rsid w:val="00E41FC2"/>
    <w:rsid w:val="00E87528"/>
    <w:rsid w:val="00EB2835"/>
    <w:rsid w:val="00ED1437"/>
    <w:rsid w:val="00F128B6"/>
    <w:rsid w:val="00F23518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E7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2023-10-03T11:08:00Z</dcterms:created>
  <dcterms:modified xsi:type="dcterms:W3CDTF">2023-10-03T11:08:00Z</dcterms:modified>
</cp:coreProperties>
</file>