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50D" w:rsidRDefault="00000000">
      <w:pPr>
        <w:pStyle w:val="af3"/>
        <w:spacing w:before="24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CF250D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Структура научного профиля (портфолио) потенциального научного руководителя по треку аспирантуры Международной олимпиады Ассоциации «Глобальные университеты» </w:t>
      </w:r>
    </w:p>
    <w:p w:rsidR="00CF250D" w:rsidRDefault="00CF250D">
      <w:pPr>
        <w:rPr>
          <w:b/>
          <w:sz w:val="26"/>
          <w:szCs w:val="26"/>
        </w:rPr>
      </w:pPr>
    </w:p>
    <w:p w:rsidR="00CF250D" w:rsidRDefault="00000000">
      <w:pPr>
        <w:rPr>
          <w:b/>
        </w:rPr>
      </w:pPr>
      <w:r>
        <w:rPr>
          <w:b/>
        </w:rPr>
        <w:t xml:space="preserve">На русском языке: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6379"/>
      </w:tblGrid>
      <w:tr w:rsidR="00CF250D">
        <w:trPr>
          <w:trHeight w:val="1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Университет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Сеченовский Университет</w:t>
            </w:r>
          </w:p>
        </w:tc>
      </w:tr>
      <w:tr w:rsidR="00CF250D">
        <w:trPr>
          <w:trHeight w:val="1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color w:val="000000"/>
              </w:rPr>
            </w:pPr>
            <w:r>
              <w:t>Уровень владения английским языком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highlight w:val="yellow"/>
              </w:rPr>
            </w:pPr>
            <w:r>
              <w:t>«Владею свободно»</w:t>
            </w:r>
          </w:p>
        </w:tc>
      </w:tr>
      <w:tr w:rsidR="00CF250D">
        <w:trPr>
          <w:trHeight w:val="1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Направление подготовки и профиль образовательной программы, на которую будет приниматься аспирант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i/>
              </w:rPr>
            </w:pPr>
            <w:r>
              <w:rPr>
                <w:color w:val="000000"/>
                <w:sz w:val="21"/>
              </w:rPr>
              <w:t>03.03.04 Клеточная биология. 03.01.03 Молекулярная биология. 03.02.07 Генетика. 03.02.02 Вирусология.</w:t>
            </w:r>
          </w:p>
        </w:tc>
      </w:tr>
      <w:tr w:rsidR="00CF250D">
        <w:trPr>
          <w:trHeight w:val="1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</w:pPr>
            <w:r>
              <w:t>Перечень исследовательских проектов потенциального научного руководителя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1"/>
              </w:rPr>
              <w:t>Генная терапия, атеросклероз, прионы, клеточная поверхность, старение.</w:t>
            </w:r>
          </w:p>
        </w:tc>
      </w:tr>
      <w:tr w:rsidR="00CF250D">
        <w:trPr>
          <w:trHeight w:val="1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</w:pPr>
            <w:r>
              <w:t>Перечень предлагаемых тем для исследовательской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1"/>
              </w:rPr>
              <w:t>Генная терапия, атеросклероз, прионы, клеточная поверхность, старение, аутофагия, митофагия</w:t>
            </w:r>
          </w:p>
        </w:tc>
      </w:tr>
      <w:tr w:rsidR="00CF250D">
        <w:trPr>
          <w:trHeight w:val="14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225E3A">
            <w:pPr>
              <w:widowControl w:val="0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563880</wp:posOffset>
                  </wp:positionV>
                  <wp:extent cx="1408430" cy="1408430"/>
                  <wp:effectExtent l="0" t="0" r="0" b="0"/>
                  <wp:wrapSquare wrapText="bothSides"/>
                  <wp:docPr id="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noProof/>
                <w:color w:val="000000"/>
              </w:rPr>
              <mc:AlternateContent>
                <mc:Choice Requires="wps">
                  <w:drawing>
                    <wp:anchor distT="1905" distB="14605" distL="115570" distR="129540" simplePos="0" relativeHeight="251657216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5240" t="15240" r="13970" b="13970"/>
                      <wp:wrapTopAndBottom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840" cy="202896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CF250D" w:rsidRDefault="00CF250D">
                                  <w:pPr>
                                    <w:pStyle w:val="FrameContents"/>
                                    <w:widowControl w:val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28.85pt;margin-top:15.3pt;width:125.25pt;height:159.75pt;z-index:251657216;visibility:visible;mso-wrap-style:square;mso-wrap-distance-left:9.1pt;mso-wrap-distance-top:.15pt;mso-wrap-distance-right:10.2pt;mso-wrap-distance-bottom:1.15pt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" filled="f" strokeweight="2.25pt">
                      <v:textbox>
                        <w:txbxContent>
                          <w:p w:rsidR="00CF250D" w:rsidRDefault="00CF250D">
                            <w:pPr>
                              <w:pStyle w:val="FrameContents"/>
                              <w:widowControl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  <w:p w:rsidR="00CF250D" w:rsidRDefault="00CF250D">
            <w:pPr>
              <w:widowControl w:val="0"/>
            </w:pPr>
          </w:p>
          <w:p w:rsidR="00CF250D" w:rsidRDefault="00000000">
            <w:pPr>
              <w:widowControl w:val="0"/>
            </w:pPr>
            <w:r>
              <w:t>Научный руководитель:</w:t>
            </w:r>
          </w:p>
          <w:p w:rsidR="00CF250D" w:rsidRDefault="00000000">
            <w:pPr>
              <w:widowControl w:val="0"/>
            </w:pPr>
            <w:r>
              <w:t>Евгений Евгеньевич Безсонов,</w:t>
            </w:r>
          </w:p>
          <w:p w:rsidR="00CF250D" w:rsidRDefault="00000000">
            <w:pPr>
              <w:widowControl w:val="0"/>
            </w:pPr>
            <w:r>
              <w:t>кандидат наук/(МГУ им. М.В.Ломоносова)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i/>
                <w:color w:val="000000"/>
              </w:rPr>
            </w:pPr>
            <w:r>
              <w:rPr>
                <w:color w:val="000000"/>
                <w:sz w:val="21"/>
              </w:rPr>
              <w:t>Клеточная биология. Молекулярная биология. Генетика. Вирусология.</w:t>
            </w:r>
          </w:p>
        </w:tc>
      </w:tr>
      <w:tr w:rsidR="00CF250D">
        <w:trPr>
          <w:trHeight w:val="802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0D" w:rsidRDefault="00CF250D">
            <w:pPr>
              <w:widowControl w:val="0"/>
              <w:rPr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</w:pPr>
            <w:r>
              <w:rPr>
                <w:color w:val="000000"/>
              </w:rPr>
              <w:t>Научные интересы</w:t>
            </w:r>
          </w:p>
          <w:p w:rsidR="00CF250D" w:rsidRDefault="0000000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Уточнение механизмов старения, атеросклероза,размножения прионов, функционирования клеточной поверхности, аутофагии и митофагии с целью создания новых способов терапии сопутствующих заболеваний.</w:t>
            </w:r>
          </w:p>
        </w:tc>
      </w:tr>
      <w:tr w:rsidR="00CF250D">
        <w:trPr>
          <w:trHeight w:val="72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0D" w:rsidRDefault="00CF250D">
            <w:pPr>
              <w:widowControl w:val="0"/>
              <w:rPr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Особенности исследования</w:t>
            </w:r>
          </w:p>
          <w:p w:rsidR="00CF250D" w:rsidRDefault="0000000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Использование уникального оборудования</w:t>
            </w:r>
          </w:p>
        </w:tc>
      </w:tr>
      <w:tr w:rsidR="00CF250D">
        <w:trPr>
          <w:trHeight w:val="997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0D" w:rsidRDefault="00CF250D">
            <w:pPr>
              <w:widowControl w:val="0"/>
              <w:rPr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Требования потенциального научного руководителя</w:t>
            </w:r>
          </w:p>
          <w:p w:rsidR="00CF250D" w:rsidRDefault="00CF250D">
            <w:pPr>
              <w:widowControl w:val="0"/>
              <w:rPr>
                <w:i/>
                <w:iCs/>
              </w:rPr>
            </w:pPr>
          </w:p>
        </w:tc>
      </w:tr>
      <w:tr w:rsidR="00CF250D">
        <w:trPr>
          <w:trHeight w:val="553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0D" w:rsidRDefault="00CF250D">
            <w:pPr>
              <w:widowControl w:val="0"/>
              <w:rPr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</w:pPr>
            <w:r>
              <w:t>Сведения о публикациях потенциального научного руководителя</w:t>
            </w:r>
          </w:p>
          <w:p w:rsidR="00CF250D" w:rsidRDefault="0000000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Общее количество публикаций в журналах, индексируемых Web of Science, Scopus, RSCI за последние 5 лет: 32.</w:t>
            </w:r>
          </w:p>
          <w:p w:rsidR="00CF250D" w:rsidRDefault="0000000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Перечень из 5 наиболее значимых публикаций с указанием выходных данных:</w:t>
            </w:r>
          </w:p>
          <w:p w:rsidR="00CF250D" w:rsidRPr="00DF4722" w:rsidRDefault="00000000">
            <w:pPr>
              <w:widowControl w:val="0"/>
              <w:rPr>
                <w:i/>
                <w:iCs/>
                <w:lang w:val="en-US"/>
              </w:rPr>
            </w:pPr>
            <w:r w:rsidRPr="00DF4722">
              <w:rPr>
                <w:i/>
                <w:iCs/>
                <w:lang w:val="en-US"/>
              </w:rPr>
              <w:t>1. Bezsonov E, Borisov E, Vinokurov A, Tvorogova A, Geletkanich A, Grigorovskaya A, Sinyov V, Kosyreva A, Orekhov A. Effects of native and modified low-density lipoproteins on mitophagy. Atherosclerosis. 2023 Jun;375:98-100. doi: 10.1016/j.atherosclerosis.2023.05.006. Epub 2023 May 16. PMID: 37211519.</w:t>
            </w:r>
          </w:p>
          <w:p w:rsidR="00CF250D" w:rsidRPr="00DF4722" w:rsidRDefault="00000000">
            <w:pPr>
              <w:widowControl w:val="0"/>
              <w:rPr>
                <w:i/>
                <w:iCs/>
                <w:lang w:val="en-US"/>
              </w:rPr>
            </w:pPr>
            <w:r w:rsidRPr="00DF4722">
              <w:rPr>
                <w:i/>
                <w:iCs/>
                <w:lang w:val="en-US"/>
              </w:rPr>
              <w:t>2. Bezsonov, E. E., Edskes, H. K., &amp; Wickner, R. B. (2021). Innate immunity to yeast prions: Btn2p and Cur1p curing of the [URE3] prion is prevented by 60S ribosomal protein deficiency or ubiquitin/proteasome system overactivity. Genetics, 217(4), iyab013. https://doi.org/10.1093/genetics/iyab013 (Web of Science Core Collection, Scopus)</w:t>
            </w:r>
          </w:p>
          <w:p w:rsidR="00CF250D" w:rsidRPr="00225E3A" w:rsidRDefault="00000000">
            <w:pPr>
              <w:widowControl w:val="0"/>
              <w:rPr>
                <w:i/>
                <w:iCs/>
                <w:lang w:val="en-US"/>
              </w:rPr>
            </w:pPr>
            <w:r w:rsidRPr="00225E3A">
              <w:rPr>
                <w:i/>
                <w:iCs/>
                <w:lang w:val="en-US"/>
              </w:rPr>
              <w:lastRenderedPageBreak/>
              <w:t>3. Edskes, H. K., Stroobant, E. E., DeWilde, M. P., Bezsonov, E. E., &amp; Wickner, R. B. (2021). Proteasome Control of [URE3] Prion Propagation by Degradation of Anti-Prion Proteins Cur1 and Btn2 in Saccharomyces cerevisiae. Genetics, 218(1), iyab037. https://doi.org/10.1093/genetics/iyab037 (Web of Science Core Collection, Scopus)</w:t>
            </w:r>
          </w:p>
          <w:p w:rsidR="00CF250D" w:rsidRDefault="0000000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4. Borisov, E., Bezsonov E., Lyukmanov D., Poggio P., Moschetta D., Valerio V. (2022) Pharmacological agents affecting mitophagy and inflammation. Vessel Plus. 6, 63. http://dx.doi.org/10.20517/2574-1209.2022.20 (Scopus)</w:t>
            </w:r>
          </w:p>
          <w:p w:rsidR="00CF250D" w:rsidRDefault="0000000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5. Malekmohammad, K., Bezsonov, E. E., &amp; Rafieian-Kopaei, M. (2021). Role of Lipid Accumulation and Inflammation in Atherosclerosis: Focus on Molecular and Cellular Mechanisms. Frontiers in cardiovascular medicine, 8, 707529. https://doi.org/10.3389/fcvm.2021.707529 (Web of Science Core Collection, Scopus)</w:t>
            </w:r>
          </w:p>
        </w:tc>
      </w:tr>
      <w:tr w:rsidR="00CF250D">
        <w:trPr>
          <w:trHeight w:val="5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0D" w:rsidRDefault="00CF250D">
            <w:pPr>
              <w:widowControl w:val="0"/>
              <w:rPr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Результаты интеллектуальной деятельности </w:t>
            </w:r>
            <w:r>
              <w:rPr>
                <w:i/>
                <w:color w:val="000000"/>
              </w:rPr>
              <w:t>(при наличии)</w:t>
            </w:r>
          </w:p>
          <w:p w:rsidR="00CF250D" w:rsidRDefault="00CF250D">
            <w:pPr>
              <w:widowControl w:val="0"/>
              <w:rPr>
                <w:i/>
                <w:iCs/>
              </w:rPr>
            </w:pPr>
          </w:p>
        </w:tc>
      </w:tr>
    </w:tbl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p w:rsidR="00CF250D" w:rsidRDefault="00CF250D"/>
    <w:tbl>
      <w:tblPr>
        <w:tblW w:w="992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367"/>
        <w:gridCol w:w="6556"/>
      </w:tblGrid>
      <w:tr w:rsidR="00CF250D">
        <w:trPr>
          <w:trHeight w:val="148"/>
        </w:trPr>
        <w:tc>
          <w:tcPr>
            <w:tcW w:w="3367" w:type="dxa"/>
            <w:tcBorders>
              <w:bottom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На английском языке:</w:t>
            </w:r>
          </w:p>
        </w:tc>
        <w:tc>
          <w:tcPr>
            <w:tcW w:w="6555" w:type="dxa"/>
            <w:tcBorders>
              <w:bottom w:val="single" w:sz="4" w:space="0" w:color="000000"/>
            </w:tcBorders>
            <w:shd w:val="clear" w:color="auto" w:fill="auto"/>
          </w:tcPr>
          <w:p w:rsidR="00CF250D" w:rsidRDefault="00CF250D">
            <w:pPr>
              <w:widowControl w:val="0"/>
              <w:rPr>
                <w:color w:val="000000"/>
              </w:rPr>
            </w:pPr>
          </w:p>
        </w:tc>
      </w:tr>
      <w:tr w:rsidR="00CF250D">
        <w:trPr>
          <w:trHeight w:val="148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University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Sechenov University</w:t>
            </w:r>
          </w:p>
        </w:tc>
      </w:tr>
      <w:tr w:rsidR="00CF250D">
        <w:trPr>
          <w:trHeight w:val="148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color w:val="000000"/>
              </w:rPr>
            </w:pPr>
            <w:r>
              <w:t>Level of English proficiency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“Fluent”</w:t>
            </w:r>
          </w:p>
        </w:tc>
      </w:tr>
      <w:tr w:rsidR="00CF250D">
        <w:trPr>
          <w:trHeight w:val="148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color w:val="000000"/>
                <w:lang w:val="en-US"/>
              </w:rPr>
            </w:pPr>
            <w:r>
              <w:rPr>
                <w:lang w:val="en-US"/>
              </w:rPr>
              <w:t>Courses and fields of studies offered for applicants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03.03.04 Cell Biology. 03.01.03 Molecular Biology. 03.02.07 Genetics. 03.02.02 Virology.</w:t>
            </w:r>
          </w:p>
        </w:tc>
      </w:tr>
      <w:tr w:rsidR="00CF250D" w:rsidRPr="00DF4722">
        <w:trPr>
          <w:trHeight w:val="148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Projects for potential academic supervision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Gene therapy, atherosclerosis, prions, cell surface, aging.</w:t>
            </w:r>
          </w:p>
        </w:tc>
      </w:tr>
      <w:tr w:rsidR="00CF250D" w:rsidRPr="00DF4722">
        <w:trPr>
          <w:trHeight w:val="148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Topics offered for prospective researches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Gene therapy, atherosclerosis, prions, cell surface, aging, autophagy, mitophagy</w:t>
            </w:r>
          </w:p>
        </w:tc>
      </w:tr>
      <w:tr w:rsidR="00CF250D">
        <w:trPr>
          <w:trHeight w:val="148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1905" distB="14605" distL="115570" distR="129540" simplePos="0" relativeHeight="4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5240" t="15240" r="13970" b="13970"/>
                      <wp:wrapTopAndBottom/>
                      <wp:docPr id="4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840" cy="202896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CF250D" w:rsidRDefault="00CF250D">
                                  <w:pPr>
                                    <w:pStyle w:val="FrameContents"/>
                                    <w:widowControl w:val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7" style="position:absolute;margin-left:28.85pt;margin-top:15.3pt;width:125.25pt;height:159.75pt;z-index:4;visibility:visible;mso-wrap-style:square;mso-wrap-distance-left:9.1pt;mso-wrap-distance-top:.15pt;mso-wrap-distance-right:10.2pt;mso-wrap-distance-bottom:1.15pt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" filled="f" strokeweight="2.25pt">
                      <v:textbox>
                        <w:txbxContent>
                          <w:p w:rsidR="00CF250D" w:rsidRDefault="00CF250D">
                            <w:pPr>
                              <w:pStyle w:val="FrameContents"/>
                              <w:widowControl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  <w:p w:rsidR="00CF250D" w:rsidRDefault="00000000">
            <w:pPr>
              <w:widowControl w:val="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0" distR="0" simplePos="0" relativeHeight="6" behindDoc="0" locked="0" layoutInCell="0" allowOverlap="1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263525</wp:posOffset>
                  </wp:positionV>
                  <wp:extent cx="1408430" cy="1408430"/>
                  <wp:effectExtent l="0" t="0" r="0" b="0"/>
                  <wp:wrapSquare wrapText="bothSides"/>
                  <wp:docPr id="6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F250D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Research supervisor:</w:t>
            </w:r>
          </w:p>
          <w:p w:rsidR="00CF250D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Evgeny E. Bezsonov,</w:t>
            </w:r>
          </w:p>
          <w:p w:rsidR="00CF250D" w:rsidRPr="00225E3A" w:rsidRDefault="0000000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PhD</w:t>
            </w:r>
            <w:r w:rsidRPr="00225E3A">
              <w:rPr>
                <w:lang w:val="en-US"/>
              </w:rPr>
              <w:t xml:space="preserve"> (Lomonosov Moscow State University)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Cell biology. Molecular biology. Genetics. Virology.</w:t>
            </w:r>
          </w:p>
        </w:tc>
      </w:tr>
      <w:tr w:rsidR="00CF250D">
        <w:trPr>
          <w:trHeight w:val="802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0D" w:rsidRDefault="00CF250D">
            <w:pPr>
              <w:widowControl w:val="0"/>
              <w:rPr>
                <w:color w:val="000000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color w:val="000000"/>
              </w:rPr>
            </w:pPr>
            <w:r>
              <w:rPr>
                <w:lang w:val="en-US"/>
              </w:rPr>
              <w:t>Supervisor</w:t>
            </w:r>
            <w:r>
              <w:t>’</w:t>
            </w:r>
            <w:r>
              <w:rPr>
                <w:lang w:val="en-US"/>
              </w:rPr>
              <w:t>s</w:t>
            </w:r>
            <w:r>
              <w:t xml:space="preserve"> </w:t>
            </w:r>
            <w:r>
              <w:rPr>
                <w:lang w:val="en-US"/>
              </w:rPr>
              <w:t>r</w:t>
            </w:r>
            <w:r>
              <w:rPr>
                <w:color w:val="000000"/>
                <w:lang w:val="en-US"/>
              </w:rPr>
              <w:t>esearch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interests</w:t>
            </w:r>
          </w:p>
          <w:p w:rsidR="00CF250D" w:rsidRDefault="00000000">
            <w:pPr>
              <w:widowControl w:val="0"/>
            </w:pPr>
            <w:r>
              <w:rPr>
                <w:i/>
                <w:iCs/>
              </w:rPr>
              <w:t>Clarification of the mechanisms of aging, atherosclerosis, prion proliferation, cell surface functioning, autophagy and mitophagy in order to create new methods of therapy for concomitant diseases.</w:t>
            </w:r>
          </w:p>
        </w:tc>
      </w:tr>
      <w:tr w:rsidR="00CF250D">
        <w:trPr>
          <w:trHeight w:val="729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0D" w:rsidRDefault="00CF250D">
            <w:pPr>
              <w:widowControl w:val="0"/>
              <w:rPr>
                <w:color w:val="000000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Study program highlights:</w:t>
            </w:r>
          </w:p>
          <w:p w:rsidR="00CF250D" w:rsidRDefault="0000000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The use of unique equipment.</w:t>
            </w:r>
          </w:p>
        </w:tc>
      </w:tr>
      <w:tr w:rsidR="00CF250D">
        <w:trPr>
          <w:trHeight w:val="997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0D" w:rsidRDefault="00CF250D">
            <w:pPr>
              <w:widowControl w:val="0"/>
              <w:rPr>
                <w:color w:val="000000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Supervisor</w:t>
            </w:r>
            <w:r>
              <w:rPr>
                <w:color w:val="000000"/>
              </w:rPr>
              <w:t>’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specific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requirements</w:t>
            </w:r>
            <w:r>
              <w:rPr>
                <w:color w:val="000000"/>
              </w:rPr>
              <w:t>:</w:t>
            </w:r>
          </w:p>
          <w:p w:rsidR="00CF250D" w:rsidRDefault="00CF250D">
            <w:pPr>
              <w:widowControl w:val="0"/>
              <w:rPr>
                <w:i/>
                <w:iCs/>
              </w:rPr>
            </w:pPr>
          </w:p>
        </w:tc>
      </w:tr>
      <w:tr w:rsidR="00CF250D">
        <w:trPr>
          <w:trHeight w:val="55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0D" w:rsidRDefault="00CF250D">
            <w:pPr>
              <w:widowControl w:val="0"/>
              <w:rPr>
                <w:color w:val="000000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</w:pPr>
            <w:r>
              <w:t>Supervisor’s publication</w:t>
            </w:r>
            <w:r>
              <w:rPr>
                <w:lang w:val="en-US"/>
              </w:rPr>
              <w:t>s</w:t>
            </w:r>
          </w:p>
          <w:p w:rsidR="00CF250D" w:rsidRDefault="0000000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Total number of publications in journals indexed by Web of Science, Scopus, RSCI over the past 5 years: 32.</w:t>
            </w:r>
          </w:p>
          <w:p w:rsidR="00CF250D" w:rsidRDefault="0000000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List of the 5 most significant publications with output data:</w:t>
            </w:r>
          </w:p>
          <w:p w:rsidR="00CF250D" w:rsidRDefault="0000000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1. Bezsonov E, Borisov E, Vinokurov A, Tvorogova A, Geletkanich A, Grigorovskaya A, Sinyov V, Kosyreva A, Orekhov A. Effects of native and modified low-density lipoproteins on mitophagy. Atherosclerosis. 2023 Jun;375:98-100. doi: 10.1016/j.atherosclerosis.2023.05.006. Epub 2023 May 16. PMID: 37211519.</w:t>
            </w:r>
          </w:p>
          <w:p w:rsidR="00CF250D" w:rsidRDefault="0000000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2. Bezsonov, E. E., Edskes, H. K., &amp; Wickner, R. B. (2021). Innate immunity to yeast prions: Btn2p and Cur1p curing of the [URE3] prion is prevented by 60S ribosomal protein deficiency or ubiquitin/proteasome system overactivity. Genetics, 217(4), iyab013. https://doi.org/10.1093/genetics/iyab013 (Web of Science Core Collection, Scopus)</w:t>
            </w:r>
          </w:p>
          <w:p w:rsidR="00CF250D" w:rsidRDefault="0000000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3. Edskes, H. K., Stroobant, E. E., DeWilde, M. P., Bezsonov, E. E., &amp; Wickner, R. B. (2021). Proteasome Control of [URE3] Prion Propagation by Degradation of Anti-Prion Proteins Cur1 and Btn2 in Saccharomyces cerevisiae. Genetics, 218(1), iyab037. https://doi.org/10.1093/genetics/iyab037 (Web of Science Core Collection, Scopus)</w:t>
            </w:r>
          </w:p>
          <w:p w:rsidR="00CF250D" w:rsidRDefault="0000000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4. Borisov, E., Bezsonov E., Lyukmanov D., Poggio P., Moschetta D., Valerio V. (2022) Pharmacological agents affecting mitophagy and inflammation. Vessel Plus. 6, 63. http://dx.doi.org/10.20517/2574-1209.2022.20 (Scopus)</w:t>
            </w:r>
          </w:p>
          <w:p w:rsidR="00CF250D" w:rsidRDefault="00000000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5. Malekmohammad, K., Bezsonov, E. E., &amp; Rafieian-Kopaei, M. (2021). Role of Lipid Accumulation and Inflammation in Atherosclerosis: Focus on Molecular and Cellular Mechanisms. Frontiers in cardiovascular medicine, 8, 707529. </w:t>
            </w:r>
            <w:r>
              <w:rPr>
                <w:i/>
                <w:iCs/>
              </w:rPr>
              <w:lastRenderedPageBreak/>
              <w:t>https://doi.org/10.3389/fcvm.2021.707529 (Web of Science Core Collection, Scopus)</w:t>
            </w:r>
          </w:p>
        </w:tc>
      </w:tr>
      <w:tr w:rsidR="00CF250D">
        <w:trPr>
          <w:trHeight w:val="55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0D" w:rsidRDefault="00CF250D">
            <w:pPr>
              <w:widowControl w:val="0"/>
              <w:rPr>
                <w:color w:val="000000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000000">
            <w:pPr>
              <w:widowContro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Impacts of Supervisor’s research</w:t>
            </w:r>
          </w:p>
        </w:tc>
      </w:tr>
    </w:tbl>
    <w:p w:rsidR="00CF250D" w:rsidRDefault="00CF250D"/>
    <w:sectPr w:rsidR="00CF250D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5841" w:rsidRDefault="00EB5841">
      <w:r>
        <w:separator/>
      </w:r>
    </w:p>
  </w:endnote>
  <w:endnote w:type="continuationSeparator" w:id="0">
    <w:p w:rsidR="00EB5841" w:rsidRDefault="00EB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50D" w:rsidRDefault="00000000">
    <w:pPr>
      <w:pStyle w:val="af5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:rsidR="00CF250D" w:rsidRDefault="00CF250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5841" w:rsidRDefault="00EB5841">
      <w:r>
        <w:separator/>
      </w:r>
    </w:p>
  </w:footnote>
  <w:footnote w:type="continuationSeparator" w:id="0">
    <w:p w:rsidR="00EB5841" w:rsidRDefault="00EB5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0D"/>
    <w:rsid w:val="00225E3A"/>
    <w:rsid w:val="00CF250D"/>
    <w:rsid w:val="00DF4722"/>
    <w:rsid w:val="00EB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9C157DD-2829-7644-BCD0-8B349B03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  <w:lang/>
    </w:rPr>
  </w:style>
  <w:style w:type="paragraph" w:styleId="aa">
    <w:name w:val="No Spacing"/>
    <w:uiPriority w:val="1"/>
    <w:qFormat/>
  </w:style>
  <w:style w:type="paragraph" w:styleId="ab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c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</w:pPr>
    <w:rPr>
      <w:i/>
    </w:rPr>
  </w:style>
  <w:style w:type="paragraph" w:styleId="a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0">
    <w:name w:val="index heading"/>
    <w:basedOn w:val="Heading"/>
  </w:style>
  <w:style w:type="paragraph" w:styleId="af1">
    <w:name w:val="TOC Heading"/>
    <w:uiPriority w:val="39"/>
    <w:unhideWhenUsed/>
    <w:pPr>
      <w:spacing w:after="160" w:line="259" w:lineRule="auto"/>
    </w:pPr>
  </w:style>
  <w:style w:type="paragraph" w:styleId="af2">
    <w:name w:val="table of figures"/>
    <w:basedOn w:val="a"/>
    <w:uiPriority w:val="99"/>
    <w:unhideWhenUsed/>
    <w:qFormat/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eastAsia="Calibri"/>
      <w:color w:val="000000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4912</Characters>
  <Application>Microsoft Office Word</Application>
  <DocSecurity>0</DocSecurity>
  <Lines>40</Lines>
  <Paragraphs>11</Paragraphs>
  <ScaleCrop>false</ScaleCrop>
  <Company>НИУ ВЭШ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Железов Борис Валерьевич.</dc:creator>
  <dc:description/>
  <cp:lastModifiedBy>Victoria Morozova</cp:lastModifiedBy>
  <cp:revision>3</cp:revision>
  <dcterms:created xsi:type="dcterms:W3CDTF">2025-09-05T07:33:00Z</dcterms:created>
  <dcterms:modified xsi:type="dcterms:W3CDTF">2025-09-05T07:33:00Z</dcterms:modified>
  <dc:language>en-US</dc:language>
</cp:coreProperties>
</file>