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9607F" w:rsidRDefault="00000000">
      <w:pPr>
        <w:spacing w:line="276" w:lineRule="auto"/>
        <w:ind w:left="3969"/>
      </w:pPr>
      <w:r>
        <w:t>Приложение 7 к Протоколу заочного голосования Организационного комитета Международной олимпиады Ассоциации «Глобальные университеты» для абитуриентов магистратуры и аспирантуры от 20.06.2023 № 1-з</w:t>
      </w:r>
    </w:p>
    <w:p w:rsidR="00E9607F" w:rsidRDefault="00000000">
      <w:pPr>
        <w:rPr>
          <w:b/>
          <w:bCs/>
          <w:sz w:val="26"/>
          <w:szCs w:val="26"/>
        </w:rPr>
      </w:pPr>
      <w:r>
        <w:rPr>
          <w:b/>
          <w:bCs/>
          <w:sz w:val="26"/>
          <w:szCs w:val="26"/>
        </w:rPr>
        <w:t>Структура научного профиля (портфолио) потенциальных научных руководителей участников трека аспирантуры Международной олимпиады Ассоциации «Глобальные университеты» для абитуриентов магистратуры и аспирантуры.</w:t>
      </w:r>
    </w:p>
    <w:p w:rsidR="00E9607F" w:rsidRDefault="00000000">
      <w:pPr>
        <w:rPr>
          <w:b/>
          <w:bCs/>
        </w:rPr>
      </w:pPr>
      <w:r>
        <w:rPr>
          <w:b/>
          <w:bCs/>
        </w:rPr>
        <w:t xml:space="preserve">На русском языке: </w:t>
      </w:r>
    </w:p>
    <w:tbl>
      <w:tblPr>
        <w:tblStyle w:val="TableNormal"/>
        <w:tblW w:w="992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543"/>
        <w:gridCol w:w="6378"/>
      </w:tblGrid>
      <w:tr w:rsidR="00E9607F">
        <w:trPr>
          <w:trHeight w:val="570"/>
        </w:trPr>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607F" w:rsidRDefault="00000000">
            <w:pPr>
              <w:spacing w:after="0"/>
            </w:pPr>
            <w:r>
              <w:t>Университет</w:t>
            </w:r>
          </w:p>
        </w:tc>
        <w:tc>
          <w:tcPr>
            <w:tcW w:w="63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607F" w:rsidRDefault="00000000">
            <w:pPr>
              <w:pStyle w:val="a6"/>
              <w:tabs>
                <w:tab w:val="left" w:pos="720"/>
                <w:tab w:val="left" w:pos="1440"/>
                <w:tab w:val="left" w:pos="2160"/>
                <w:tab w:val="left" w:pos="2880"/>
                <w:tab w:val="left" w:pos="3600"/>
                <w:tab w:val="left" w:pos="4320"/>
                <w:tab w:val="left" w:pos="5040"/>
                <w:tab w:val="left" w:pos="5760"/>
              </w:tabs>
              <w:spacing w:before="0" w:line="240" w:lineRule="auto"/>
            </w:pPr>
            <w:r>
              <w:rPr>
                <w:rFonts w:ascii="Times Roman" w:hAnsi="Times Roman"/>
                <w:sz w:val="23"/>
                <w:szCs w:val="23"/>
              </w:rPr>
              <w:t xml:space="preserve">ФГАОУ ВО Первый МГМУ им. И.М. Сеченова Минздрава России (Сеченовский Университет) </w:t>
            </w:r>
          </w:p>
        </w:tc>
      </w:tr>
      <w:tr w:rsidR="00E9607F">
        <w:trPr>
          <w:trHeight w:val="600"/>
        </w:trPr>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607F" w:rsidRDefault="00000000">
            <w:pPr>
              <w:spacing w:after="0"/>
            </w:pPr>
            <w:r>
              <w:t>Уровень владения английским языком</w:t>
            </w:r>
          </w:p>
        </w:tc>
        <w:tc>
          <w:tcPr>
            <w:tcW w:w="63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607F" w:rsidRDefault="00000000">
            <w:pPr>
              <w:pStyle w:val="a6"/>
              <w:tabs>
                <w:tab w:val="left" w:pos="720"/>
                <w:tab w:val="left" w:pos="1440"/>
                <w:tab w:val="left" w:pos="2160"/>
                <w:tab w:val="left" w:pos="2880"/>
                <w:tab w:val="left" w:pos="3600"/>
                <w:tab w:val="left" w:pos="4320"/>
                <w:tab w:val="left" w:pos="5040"/>
                <w:tab w:val="left" w:pos="5760"/>
              </w:tabs>
              <w:spacing w:before="0" w:line="240" w:lineRule="auto"/>
            </w:pPr>
            <w:r>
              <w:rPr>
                <w:rFonts w:ascii="Times Roman" w:hAnsi="Times Roman"/>
                <w:sz w:val="23"/>
                <w:szCs w:val="23"/>
              </w:rPr>
              <w:t xml:space="preserve">В2 </w:t>
            </w:r>
          </w:p>
        </w:tc>
      </w:tr>
      <w:tr w:rsidR="00E9607F" w:rsidRPr="00C00E7C">
        <w:trPr>
          <w:trHeight w:val="1200"/>
        </w:trPr>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607F" w:rsidRDefault="00000000">
            <w:pPr>
              <w:spacing w:after="0"/>
            </w:pPr>
            <w:r>
              <w:t>Направление подготовки и профиль образовательной программы, на которую будет приниматься аспирант</w:t>
            </w:r>
          </w:p>
        </w:tc>
        <w:tc>
          <w:tcPr>
            <w:tcW w:w="63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607F" w:rsidRDefault="00000000">
            <w:pPr>
              <w:spacing w:after="0"/>
              <w:jc w:val="left"/>
            </w:pPr>
            <w:r>
              <w:t>3.02 Клиническая медицина (</w:t>
            </w:r>
            <w:r>
              <w:rPr>
                <w:lang w:val="en-US"/>
              </w:rPr>
              <w:t>Clinical</w:t>
            </w:r>
            <w:r w:rsidRPr="00C00E7C">
              <w:t xml:space="preserve"> </w:t>
            </w:r>
            <w:proofErr w:type="gramStart"/>
            <w:r>
              <w:rPr>
                <w:lang w:val="en-US"/>
              </w:rPr>
              <w:t>medicine</w:t>
            </w:r>
            <w:r w:rsidRPr="00C00E7C">
              <w:t xml:space="preserve"> </w:t>
            </w:r>
            <w:r>
              <w:t>)</w:t>
            </w:r>
            <w:proofErr w:type="gramEnd"/>
          </w:p>
          <w:p w:rsidR="00E9607F" w:rsidRDefault="00000000">
            <w:pPr>
              <w:spacing w:after="0"/>
              <w:jc w:val="left"/>
            </w:pPr>
            <w:r>
              <w:t>Анестезиология-реаниматология</w:t>
            </w:r>
          </w:p>
          <w:p w:rsidR="00E9607F" w:rsidRPr="00C00E7C" w:rsidRDefault="00000000">
            <w:pPr>
              <w:spacing w:after="0"/>
              <w:jc w:val="left"/>
              <w:rPr>
                <w:i/>
                <w:iCs/>
                <w:lang w:val="en-US"/>
              </w:rPr>
            </w:pPr>
            <w:r w:rsidRPr="00C00E7C">
              <w:rPr>
                <w:i/>
                <w:iCs/>
                <w:lang w:val="en-US"/>
              </w:rPr>
              <w:t xml:space="preserve">BA, ANESTHESIOLOGY </w:t>
            </w:r>
          </w:p>
          <w:p w:rsidR="00E9607F" w:rsidRPr="00C00E7C" w:rsidRDefault="00000000">
            <w:pPr>
              <w:spacing w:after="0"/>
              <w:jc w:val="left"/>
              <w:rPr>
                <w:lang w:val="en-US"/>
              </w:rPr>
            </w:pPr>
            <w:r w:rsidRPr="00C00E7C">
              <w:rPr>
                <w:i/>
                <w:iCs/>
                <w:lang w:val="en-US"/>
              </w:rPr>
              <w:t xml:space="preserve">DS, CRITICAL CARE MEDICINE </w:t>
            </w:r>
          </w:p>
        </w:tc>
      </w:tr>
      <w:tr w:rsidR="00E9607F">
        <w:trPr>
          <w:trHeight w:val="1360"/>
        </w:trPr>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607F" w:rsidRDefault="00000000">
            <w:pPr>
              <w:spacing w:after="0"/>
              <w:jc w:val="left"/>
            </w:pPr>
            <w:r>
              <w:t>Перечень исследовательских проектов потенциального научного руководителя (участие/руководство)</w:t>
            </w:r>
          </w:p>
        </w:tc>
        <w:tc>
          <w:tcPr>
            <w:tcW w:w="63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607F" w:rsidRDefault="00000000">
            <w:pPr>
              <w:pStyle w:val="a6"/>
              <w:tabs>
                <w:tab w:val="left" w:pos="720"/>
                <w:tab w:val="left" w:pos="1440"/>
                <w:tab w:val="left" w:pos="2160"/>
                <w:tab w:val="left" w:pos="2880"/>
                <w:tab w:val="left" w:pos="3600"/>
                <w:tab w:val="left" w:pos="4320"/>
                <w:tab w:val="left" w:pos="5040"/>
                <w:tab w:val="left" w:pos="5760"/>
              </w:tabs>
              <w:spacing w:before="0" w:line="240" w:lineRule="auto"/>
            </w:pPr>
            <w:r>
              <w:rPr>
                <w:rFonts w:ascii="Times Roman" w:hAnsi="Times Roman"/>
                <w:sz w:val="23"/>
                <w:szCs w:val="23"/>
              </w:rPr>
              <w:t xml:space="preserve">Применение оксида азота, гипоксической и гипероксической газовой смеси для полиорганной защиты от ишемическо-реперфузионного поражения при кардиохирургических вмешательствах в условиях искусственного кровообращения и </w:t>
            </w:r>
            <w:r>
              <w:rPr>
                <w:rFonts w:ascii="Times New Roman" w:hAnsi="Times New Roman"/>
                <w:sz w:val="23"/>
                <w:szCs w:val="23"/>
              </w:rPr>
              <w:t>длительных абдоминальных оперативных вмешательствах</w:t>
            </w:r>
          </w:p>
        </w:tc>
      </w:tr>
      <w:tr w:rsidR="00E9607F">
        <w:trPr>
          <w:trHeight w:val="8700"/>
        </w:trPr>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607F" w:rsidRDefault="00000000">
            <w:pPr>
              <w:spacing w:after="0"/>
              <w:jc w:val="left"/>
            </w:pPr>
            <w:r>
              <w:lastRenderedPageBreak/>
              <w:t>Перечень предлагаемых соискателям тем для исследовательской работы</w:t>
            </w:r>
          </w:p>
        </w:tc>
        <w:tc>
          <w:tcPr>
            <w:tcW w:w="63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607F" w:rsidRDefault="00000000">
            <w:pPr>
              <w:numPr>
                <w:ilvl w:val="0"/>
                <w:numId w:val="1"/>
              </w:numPr>
              <w:spacing w:after="0"/>
            </w:pPr>
            <w:r>
              <w:t>Эндотелиальная дисфункция как причина периоперационной полиорганной недостаточности в кардиохирургическии</w:t>
            </w:r>
          </w:p>
          <w:p w:rsidR="00E9607F" w:rsidRDefault="00000000">
            <w:pPr>
              <w:numPr>
                <w:ilvl w:val="0"/>
                <w:numId w:val="1"/>
              </w:numPr>
              <w:spacing w:after="0"/>
            </w:pPr>
            <w:r>
              <w:t>Кардиоренальная протекция в кардиохирургии на основе ингаляции оксида азота в периоперационном периоде.</w:t>
            </w:r>
          </w:p>
          <w:p w:rsidR="00E9607F" w:rsidRDefault="00000000">
            <w:pPr>
              <w:numPr>
                <w:ilvl w:val="0"/>
                <w:numId w:val="1"/>
              </w:numPr>
              <w:spacing w:after="0"/>
            </w:pPr>
            <w:r>
              <w:t>Кардиоренальная протекция на основе ингаляции оксида азота в периоперационном периоде при длительных лапароскопических вмешательствах у пациентов с  фоновой сердечно-сосудистой патологией.</w:t>
            </w:r>
          </w:p>
          <w:p w:rsidR="00E9607F" w:rsidRDefault="00000000">
            <w:pPr>
              <w:numPr>
                <w:ilvl w:val="0"/>
                <w:numId w:val="1"/>
              </w:numPr>
              <w:spacing w:after="0"/>
            </w:pPr>
            <w:r>
              <w:t>Защита органов желудочно-кишечного тракта от ишемическо-реперфузионного повреждения в кардиохирургии на основе инсуффляции оксида азота в контур искусственного кровообращения</w:t>
            </w:r>
          </w:p>
          <w:p w:rsidR="00E9607F" w:rsidRDefault="00000000">
            <w:pPr>
              <w:numPr>
                <w:ilvl w:val="0"/>
                <w:numId w:val="1"/>
              </w:numPr>
              <w:spacing w:after="0"/>
            </w:pPr>
            <w:r>
              <w:t>Нефропротекция в абдиминальной хирургии на основе интраоперационной ингаляции оксида азота</w:t>
            </w:r>
          </w:p>
          <w:p w:rsidR="00E9607F" w:rsidRDefault="00000000">
            <w:pPr>
              <w:numPr>
                <w:ilvl w:val="0"/>
                <w:numId w:val="1"/>
              </w:numPr>
              <w:spacing w:after="0"/>
            </w:pPr>
            <w:r>
              <w:t>Защита органов брюшной полости при лапароскопических вмешательствах на основе периоперационной ингаляции оксида азота</w:t>
            </w:r>
          </w:p>
          <w:p w:rsidR="00E9607F" w:rsidRDefault="00000000">
            <w:pPr>
              <w:numPr>
                <w:ilvl w:val="0"/>
                <w:numId w:val="1"/>
              </w:numPr>
              <w:spacing w:after="0"/>
            </w:pPr>
            <w:r>
              <w:t xml:space="preserve">Церебропротекция на основе периоперационной ингаляции оксида азота при длительных абдоминальных оперативных вмешательствах </w:t>
            </w:r>
          </w:p>
          <w:p w:rsidR="00E9607F" w:rsidRDefault="00000000">
            <w:pPr>
              <w:numPr>
                <w:ilvl w:val="0"/>
                <w:numId w:val="1"/>
              </w:numPr>
              <w:spacing w:after="0"/>
            </w:pPr>
            <w:r>
              <w:t>Гипоксическо-гипероксическое прекондиционирование для нейропротекции в периоперационном периоде при длительных оперативных вмешательствах.</w:t>
            </w:r>
          </w:p>
          <w:p w:rsidR="00E9607F" w:rsidRDefault="00000000">
            <w:pPr>
              <w:numPr>
                <w:ilvl w:val="0"/>
                <w:numId w:val="1"/>
              </w:numPr>
              <w:spacing w:after="0"/>
            </w:pPr>
            <w:r>
              <w:t>Превентивная органопротекция методом увеличения респираторной и метаболической адаптация к стрессу на основе гипоксической, гипероксической газовых смесей и ингаляции оксида азота при плановых длительных оперативных вмешательствах.</w:t>
            </w:r>
          </w:p>
        </w:tc>
      </w:tr>
      <w:tr w:rsidR="00E9607F">
        <w:trPr>
          <w:trHeight w:val="1200"/>
        </w:trPr>
        <w:tc>
          <w:tcPr>
            <w:tcW w:w="354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607F" w:rsidRDefault="00000000">
            <w:pPr>
              <w:spacing w:after="0"/>
            </w:pPr>
            <w:r>
              <w:rPr>
                <w:lang w:val="en-US"/>
              </w:rPr>
              <w:t> </w:t>
            </w:r>
          </w:p>
          <w:p w:rsidR="00C00E7C" w:rsidRDefault="00C00E7C"/>
          <w:p w:rsidR="00C00E7C" w:rsidRDefault="00C00E7C">
            <w:r>
              <w:rPr>
                <w:noProof/>
              </w:rPr>
              <w:drawing>
                <wp:inline distT="0" distB="0" distL="0" distR="0">
                  <wp:extent cx="2148205" cy="2648585"/>
                  <wp:effectExtent l="0" t="0" r="0" b="5715"/>
                  <wp:docPr id="135284292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842928" name="Рисунок 1352842928"/>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48205" cy="2648585"/>
                          </a:xfrm>
                          <a:prstGeom prst="rect">
                            <a:avLst/>
                          </a:prstGeom>
                        </pic:spPr>
                      </pic:pic>
                    </a:graphicData>
                  </a:graphic>
                </wp:inline>
              </w:drawing>
            </w:r>
          </w:p>
          <w:p w:rsidR="00C00E7C" w:rsidRDefault="00C00E7C"/>
          <w:p w:rsidR="00E9607F" w:rsidRDefault="00000000">
            <w:r>
              <w:t>Научный руководитель:</w:t>
            </w:r>
          </w:p>
          <w:p w:rsidR="00E9607F" w:rsidRDefault="00000000">
            <w:r>
              <w:t>Ирина Аркадьевна Мандель,</w:t>
            </w:r>
          </w:p>
          <w:p w:rsidR="00E9607F" w:rsidRDefault="00000000">
            <w:r>
              <w:t xml:space="preserve">Кандидат медицинских наук (Национальный медицинский исследовательский центр имени академика Е. Н. Мешалкина) </w:t>
            </w:r>
          </w:p>
        </w:tc>
        <w:tc>
          <w:tcPr>
            <w:tcW w:w="63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607F" w:rsidRDefault="00000000">
            <w:pPr>
              <w:pStyle w:val="a6"/>
              <w:tabs>
                <w:tab w:val="left" w:pos="720"/>
                <w:tab w:val="left" w:pos="1440"/>
                <w:tab w:val="left" w:pos="2160"/>
                <w:tab w:val="left" w:pos="2880"/>
                <w:tab w:val="left" w:pos="3600"/>
                <w:tab w:val="left" w:pos="4320"/>
                <w:tab w:val="left" w:pos="5040"/>
                <w:tab w:val="left" w:pos="5760"/>
              </w:tabs>
              <w:spacing w:before="0" w:line="240" w:lineRule="auto"/>
              <w:rPr>
                <w:rFonts w:ascii="Times New Roman" w:eastAsia="Times New Roman" w:hAnsi="Times New Roman" w:cs="Times New Roman"/>
                <w:shd w:val="clear" w:color="auto" w:fill="FFFFFF"/>
              </w:rPr>
            </w:pPr>
            <w:r>
              <w:rPr>
                <w:rFonts w:ascii="Times New Roman" w:hAnsi="Times New Roman"/>
                <w:shd w:val="clear" w:color="auto" w:fill="FFFFFF"/>
              </w:rPr>
              <w:lastRenderedPageBreak/>
              <w:t xml:space="preserve">3. Медицинские науки и общественное здравоохранение </w:t>
            </w:r>
          </w:p>
          <w:p w:rsidR="00E9607F" w:rsidRDefault="00000000">
            <w:pPr>
              <w:pStyle w:val="a6"/>
              <w:tabs>
                <w:tab w:val="left" w:pos="720"/>
                <w:tab w:val="left" w:pos="1440"/>
                <w:tab w:val="left" w:pos="2160"/>
                <w:tab w:val="left" w:pos="2880"/>
                <w:tab w:val="left" w:pos="3600"/>
                <w:tab w:val="left" w:pos="4320"/>
                <w:tab w:val="left" w:pos="5040"/>
                <w:tab w:val="left" w:pos="5760"/>
              </w:tabs>
              <w:spacing w:before="0" w:line="240" w:lineRule="auto"/>
              <w:rPr>
                <w:rFonts w:ascii="Times New Roman" w:eastAsia="Times New Roman" w:hAnsi="Times New Roman" w:cs="Times New Roman"/>
              </w:rPr>
            </w:pPr>
            <w:r>
              <w:rPr>
                <w:rFonts w:ascii="Times New Roman" w:hAnsi="Times New Roman"/>
              </w:rPr>
              <w:t xml:space="preserve">3.02 Клиническая медицина </w:t>
            </w:r>
          </w:p>
          <w:p w:rsidR="00E9607F" w:rsidRDefault="00000000">
            <w:pPr>
              <w:pStyle w:val="a6"/>
              <w:tabs>
                <w:tab w:val="left" w:pos="720"/>
                <w:tab w:val="left" w:pos="1440"/>
                <w:tab w:val="left" w:pos="2160"/>
                <w:tab w:val="left" w:pos="2880"/>
                <w:tab w:val="left" w:pos="3600"/>
                <w:tab w:val="left" w:pos="4320"/>
                <w:tab w:val="left" w:pos="5040"/>
                <w:tab w:val="left" w:pos="5760"/>
              </w:tabs>
              <w:spacing w:before="0" w:line="240" w:lineRule="auto"/>
              <w:rPr>
                <w:rFonts w:ascii="Times New Roman" w:eastAsia="Times New Roman" w:hAnsi="Times New Roman" w:cs="Times New Roman"/>
              </w:rPr>
            </w:pPr>
            <w:r>
              <w:rPr>
                <w:rFonts w:ascii="Times New Roman" w:hAnsi="Times New Roman"/>
              </w:rPr>
              <w:t xml:space="preserve">  Анестезиология</w:t>
            </w:r>
          </w:p>
          <w:p w:rsidR="00E9607F" w:rsidRDefault="00000000">
            <w:pPr>
              <w:pStyle w:val="a6"/>
              <w:tabs>
                <w:tab w:val="left" w:pos="720"/>
                <w:tab w:val="left" w:pos="1440"/>
                <w:tab w:val="left" w:pos="2160"/>
                <w:tab w:val="left" w:pos="2880"/>
                <w:tab w:val="left" w:pos="3600"/>
                <w:tab w:val="left" w:pos="4320"/>
                <w:tab w:val="left" w:pos="5040"/>
                <w:tab w:val="left" w:pos="5760"/>
              </w:tabs>
              <w:spacing w:before="0" w:line="240" w:lineRule="auto"/>
            </w:pPr>
            <w:r>
              <w:rPr>
                <w:rFonts w:ascii="Times New Roman" w:hAnsi="Times New Roman"/>
              </w:rPr>
              <w:t xml:space="preserve">  Реаниматология</w:t>
            </w:r>
          </w:p>
        </w:tc>
      </w:tr>
      <w:tr w:rsidR="00E9607F">
        <w:trPr>
          <w:trHeight w:val="3900"/>
        </w:trPr>
        <w:tc>
          <w:tcPr>
            <w:tcW w:w="3543" w:type="dxa"/>
            <w:vMerge/>
            <w:tcBorders>
              <w:top w:val="single" w:sz="4" w:space="0" w:color="000000"/>
              <w:left w:val="single" w:sz="4" w:space="0" w:color="000000"/>
              <w:bottom w:val="single" w:sz="4" w:space="0" w:color="000000"/>
              <w:right w:val="single" w:sz="4" w:space="0" w:color="000000"/>
            </w:tcBorders>
            <w:shd w:val="clear" w:color="auto" w:fill="auto"/>
          </w:tcPr>
          <w:p w:rsidR="00E9607F" w:rsidRDefault="00E9607F"/>
        </w:tc>
        <w:tc>
          <w:tcPr>
            <w:tcW w:w="63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607F" w:rsidRDefault="00000000">
            <w:pPr>
              <w:spacing w:after="0"/>
            </w:pPr>
            <w:r>
              <w:t>Научные интересы</w:t>
            </w:r>
          </w:p>
          <w:p w:rsidR="00E9607F" w:rsidRDefault="00000000">
            <w:pPr>
              <w:spacing w:after="0"/>
            </w:pPr>
            <w:r>
              <w:t xml:space="preserve">Механизмы повреждения органов, эндотелиальная дисфункция и кислородный дисбаланс как причины полиорганной дисфункции в кардиохирургии и лапароскопической хирургии. Органопротекция на основе гипоксической, гипероксической газовых смесей и ингаляции оксида азота в кардио- и некардиохирургия. Дисфункция правых отделов сердца и защита от ишемическо- реперфузионного повреждения в кардиохирургии. Превентивная органопротекция методом увеличения респираторной и метаболической адаптация к стрессу на основе гипоксической, гипероксической газовых смесей и ингаляции оксида азота. </w:t>
            </w:r>
          </w:p>
        </w:tc>
      </w:tr>
      <w:tr w:rsidR="00E9607F">
        <w:trPr>
          <w:trHeight w:val="1800"/>
        </w:trPr>
        <w:tc>
          <w:tcPr>
            <w:tcW w:w="3543" w:type="dxa"/>
            <w:vMerge/>
            <w:tcBorders>
              <w:top w:val="single" w:sz="4" w:space="0" w:color="000000"/>
              <w:left w:val="single" w:sz="4" w:space="0" w:color="000000"/>
              <w:bottom w:val="single" w:sz="4" w:space="0" w:color="000000"/>
              <w:right w:val="single" w:sz="4" w:space="0" w:color="000000"/>
            </w:tcBorders>
            <w:shd w:val="clear" w:color="auto" w:fill="auto"/>
          </w:tcPr>
          <w:p w:rsidR="00E9607F" w:rsidRDefault="00E9607F"/>
        </w:tc>
        <w:tc>
          <w:tcPr>
            <w:tcW w:w="63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607F" w:rsidRDefault="00000000">
            <w:pPr>
              <w:spacing w:after="0"/>
            </w:pPr>
            <w:r>
              <w:t xml:space="preserve">Особенности исследования </w:t>
            </w:r>
            <w:r>
              <w:rPr>
                <w:i/>
                <w:iCs/>
              </w:rPr>
              <w:t>(при наличии)</w:t>
            </w:r>
          </w:p>
          <w:p w:rsidR="00E9607F" w:rsidRDefault="00000000">
            <w:pPr>
              <w:spacing w:after="0"/>
            </w:pPr>
            <w:r>
              <w:rPr>
                <w:i/>
                <w:iCs/>
              </w:rPr>
              <w:t>Необходимо указать отличительные особенности данной программы, которые бы выделяли её перед остальными. (Использование уникального оборудования, взаимодействие с зарубежными учеными и исследовательскими центрами, финансовая поддержка аспиранта и т.д.)</w:t>
            </w:r>
          </w:p>
        </w:tc>
      </w:tr>
      <w:tr w:rsidR="00E9607F">
        <w:trPr>
          <w:trHeight w:val="900"/>
        </w:trPr>
        <w:tc>
          <w:tcPr>
            <w:tcW w:w="3543" w:type="dxa"/>
            <w:vMerge/>
            <w:tcBorders>
              <w:top w:val="single" w:sz="4" w:space="0" w:color="000000"/>
              <w:left w:val="single" w:sz="4" w:space="0" w:color="000000"/>
              <w:bottom w:val="single" w:sz="4" w:space="0" w:color="000000"/>
              <w:right w:val="single" w:sz="4" w:space="0" w:color="000000"/>
            </w:tcBorders>
            <w:shd w:val="clear" w:color="auto" w:fill="auto"/>
          </w:tcPr>
          <w:p w:rsidR="00E9607F" w:rsidRDefault="00E9607F"/>
        </w:tc>
        <w:tc>
          <w:tcPr>
            <w:tcW w:w="63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607F" w:rsidRDefault="00000000">
            <w:pPr>
              <w:spacing w:after="0"/>
            </w:pPr>
            <w:r>
              <w:t>Требования потенциального научного руководителя</w:t>
            </w:r>
          </w:p>
          <w:p w:rsidR="00E9607F" w:rsidRDefault="00E9607F">
            <w:pPr>
              <w:spacing w:after="0"/>
            </w:pPr>
          </w:p>
          <w:p w:rsidR="00E9607F" w:rsidRDefault="00000000">
            <w:pPr>
              <w:spacing w:after="0"/>
            </w:pPr>
            <w:r>
              <w:t xml:space="preserve">Основы биомедицинской статистики </w:t>
            </w:r>
          </w:p>
        </w:tc>
      </w:tr>
      <w:tr w:rsidR="00E9607F">
        <w:trPr>
          <w:trHeight w:val="14530"/>
        </w:trPr>
        <w:tc>
          <w:tcPr>
            <w:tcW w:w="3543" w:type="dxa"/>
            <w:vMerge/>
            <w:tcBorders>
              <w:top w:val="single" w:sz="4" w:space="0" w:color="000000"/>
              <w:left w:val="single" w:sz="4" w:space="0" w:color="000000"/>
              <w:bottom w:val="single" w:sz="4" w:space="0" w:color="000000"/>
              <w:right w:val="single" w:sz="4" w:space="0" w:color="000000"/>
            </w:tcBorders>
            <w:shd w:val="clear" w:color="auto" w:fill="auto"/>
          </w:tcPr>
          <w:p w:rsidR="00E9607F" w:rsidRDefault="00E9607F"/>
        </w:tc>
        <w:tc>
          <w:tcPr>
            <w:tcW w:w="63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607F" w:rsidRDefault="00000000">
            <w:pPr>
              <w:spacing w:after="0"/>
              <w:rPr>
                <w:i/>
                <w:iCs/>
              </w:rPr>
            </w:pPr>
            <w:r>
              <w:rPr>
                <w:i/>
                <w:iCs/>
              </w:rPr>
              <w:t>Основные публикации потенциального научного руководителя</w:t>
            </w:r>
          </w:p>
          <w:p w:rsidR="00E9607F" w:rsidRDefault="00000000">
            <w:pPr>
              <w:numPr>
                <w:ilvl w:val="0"/>
                <w:numId w:val="2"/>
              </w:numPr>
              <w:spacing w:after="0"/>
              <w:rPr>
                <w:i/>
                <w:iCs/>
                <w:lang w:val="en-US"/>
              </w:rPr>
            </w:pPr>
            <w:r>
              <w:rPr>
                <w:i/>
                <w:iCs/>
                <w:lang w:val="en-US"/>
              </w:rPr>
              <w:t xml:space="preserve">Influence of Hypoxic and Hyperoxic Preconditioning on Endothelial Function in a Model of Myocardial Ischemia Reperfusion Injury with Cardiopulmonary Bypass (Experimental Study). Mandel, I.A.; Podoksenov, Y.K.; Suhodolo, I.V.; An, D.A.; Mikheev, S.L.; Podoksenov, A.Y.; Svirko, Y.S.; Gusakova, A.M.; Shipulin, V.M.; Yavorovskiy, A.G. </w:t>
            </w:r>
            <w:r>
              <w:rPr>
                <w:b/>
                <w:bCs/>
                <w:i/>
                <w:iCs/>
                <w:lang w:val="en-US"/>
              </w:rPr>
              <w:t xml:space="preserve">International Journal of Molecular Sciences </w:t>
            </w:r>
            <w:r w:rsidRPr="00C00E7C">
              <w:rPr>
                <w:i/>
                <w:iCs/>
                <w:lang w:val="en-US"/>
              </w:rPr>
              <w:t xml:space="preserve">2020 Jul 27;21(15):E5336. doi: 10.3390/ ijms21155336. </w:t>
            </w:r>
            <w:r>
              <w:rPr>
                <w:i/>
                <w:iCs/>
              </w:rPr>
              <w:t xml:space="preserve">PMID: 32727110 </w:t>
            </w:r>
          </w:p>
          <w:p w:rsidR="00E9607F" w:rsidRDefault="00000000">
            <w:pPr>
              <w:numPr>
                <w:ilvl w:val="0"/>
                <w:numId w:val="2"/>
              </w:numPr>
              <w:spacing w:after="0"/>
              <w:rPr>
                <w:i/>
                <w:iCs/>
                <w:lang w:val="en-US"/>
              </w:rPr>
            </w:pPr>
            <w:r>
              <w:rPr>
                <w:i/>
                <w:iCs/>
                <w:lang w:val="en-US"/>
              </w:rPr>
              <w:t xml:space="preserve">Nitric oxide provides myocardial protection when added to the cardiopulmonary bypass circuit during cardiac surgery: Randomized trial / Kamenshchikov N.O., Mandel I.A., Podoksenov Y.K., Svirko Y.S., Lomivorotov V.V., Mikheev S.L., Kozlov B.N., Shipulin V.M., Nenakhova A.A., Anfinogenova Y.J. // </w:t>
            </w:r>
            <w:r>
              <w:rPr>
                <w:b/>
                <w:bCs/>
                <w:i/>
                <w:iCs/>
                <w:lang w:val="en-US"/>
              </w:rPr>
              <w:t xml:space="preserve">Journal of Thoracic and Cardiovascular Surgery </w:t>
            </w:r>
            <w:r w:rsidRPr="00C00E7C">
              <w:rPr>
                <w:i/>
                <w:iCs/>
                <w:lang w:val="en-US"/>
              </w:rPr>
              <w:t xml:space="preserve">2019; 157: 2328–2336. </w:t>
            </w:r>
            <w:r>
              <w:rPr>
                <w:i/>
                <w:iCs/>
              </w:rPr>
              <w:t xml:space="preserve">DOI: </w:t>
            </w:r>
            <w:hyperlink r:id="rId8" w:history="1">
              <w:r>
                <w:rPr>
                  <w:rStyle w:val="Hyperlink0"/>
                  <w:i/>
                  <w:iCs/>
                </w:rPr>
                <w:t>https://doi.org/10.1016/j.jtcvs.2018.08.117</w:t>
              </w:r>
            </w:hyperlink>
            <w:r>
              <w:rPr>
                <w:i/>
                <w:iCs/>
              </w:rPr>
              <w:t xml:space="preserve"> </w:t>
            </w:r>
          </w:p>
          <w:p w:rsidR="00E9607F" w:rsidRDefault="00000000">
            <w:pPr>
              <w:numPr>
                <w:ilvl w:val="0"/>
                <w:numId w:val="2"/>
              </w:numPr>
              <w:spacing w:after="0"/>
              <w:rPr>
                <w:i/>
                <w:iCs/>
                <w:lang w:val="en-US"/>
              </w:rPr>
            </w:pPr>
            <w:r>
              <w:rPr>
                <w:i/>
                <w:iCs/>
                <w:lang w:val="en-US"/>
              </w:rPr>
              <w:t>Endothelial Function and Hypoxic</w:t>
            </w:r>
            <w:r w:rsidRPr="00C00E7C">
              <w:rPr>
                <w:i/>
                <w:iCs/>
                <w:lang w:val="en-US"/>
              </w:rPr>
              <w:t>–</w:t>
            </w:r>
            <w:r>
              <w:rPr>
                <w:i/>
                <w:iCs/>
                <w:lang w:val="en-US"/>
              </w:rPr>
              <w:t>Hyperoxic Preconditioning in Coronary Surgery with a Cardiopulmonary Bypass: Randomized Clinical Trial.</w:t>
            </w:r>
            <w:r w:rsidRPr="00C00E7C">
              <w:rPr>
                <w:i/>
                <w:iCs/>
                <w:lang w:val="en-US"/>
              </w:rPr>
              <w:t xml:space="preserve"> Mandel, I.A.; Podoksenov, Y.K.; Mikheev, S.L.; Suhodolo, I.V.; Svirko, Y.S.; Shipulin, V.M.; Ivanova, A.V.; Yavorovskiy, A.G.; Yaroshetskiy, A.I. // </w:t>
            </w:r>
            <w:r>
              <w:rPr>
                <w:b/>
                <w:bCs/>
                <w:i/>
                <w:iCs/>
                <w:lang w:val="it-IT"/>
              </w:rPr>
              <w:t>Biomedicines</w:t>
            </w:r>
            <w:r w:rsidRPr="00C00E7C">
              <w:rPr>
                <w:i/>
                <w:iCs/>
                <w:lang w:val="en-US"/>
              </w:rPr>
              <w:t xml:space="preserve"> 2023, 11(4):1044. </w:t>
            </w:r>
            <w:hyperlink r:id="rId9" w:history="1">
              <w:r>
                <w:rPr>
                  <w:rStyle w:val="Hyperlink1"/>
                  <w:i/>
                  <w:iCs/>
                  <w:lang w:val="en-US"/>
                </w:rPr>
                <w:t>https://doi.org/10.3390/biomedicines11041044</w:t>
              </w:r>
            </w:hyperlink>
          </w:p>
          <w:p w:rsidR="00E9607F" w:rsidRDefault="00000000">
            <w:pPr>
              <w:numPr>
                <w:ilvl w:val="0"/>
                <w:numId w:val="2"/>
              </w:numPr>
              <w:spacing w:after="0"/>
              <w:rPr>
                <w:i/>
                <w:iCs/>
                <w:lang w:val="en-US"/>
              </w:rPr>
            </w:pPr>
            <w:r>
              <w:rPr>
                <w:i/>
                <w:iCs/>
                <w:lang w:val="en-US"/>
              </w:rPr>
              <w:t xml:space="preserve">Low Circulating Vitamin D in Intensive Care Unit-Admitted COVID-19 Patients as a Predictor of Negative Outcomes. Bychinin MV, Klypa TV, Mandel IA, Andreichenko SA, Baklaushev VP, Yusubalieva GM, Kolyshkina NA, Troitsky AV. </w:t>
            </w:r>
            <w:r>
              <w:rPr>
                <w:b/>
                <w:bCs/>
                <w:i/>
                <w:iCs/>
                <w:lang w:val="en-US"/>
              </w:rPr>
              <w:t xml:space="preserve">Journal of Nutrition </w:t>
            </w:r>
            <w:r w:rsidRPr="00C00E7C">
              <w:rPr>
                <w:i/>
                <w:iCs/>
                <w:lang w:val="en-US"/>
              </w:rPr>
              <w:t xml:space="preserve">2021 Aug 7;151(8):2199-2205. doi: 10.1093/jn/ nxab107. PMID: 33982128; PMCID: PMC8194597. </w:t>
            </w:r>
          </w:p>
          <w:p w:rsidR="00E9607F" w:rsidRDefault="00000000">
            <w:pPr>
              <w:numPr>
                <w:ilvl w:val="0"/>
                <w:numId w:val="2"/>
              </w:numPr>
              <w:spacing w:after="0"/>
              <w:rPr>
                <w:i/>
                <w:iCs/>
                <w:lang w:val="en-US"/>
              </w:rPr>
            </w:pPr>
            <w:r>
              <w:rPr>
                <w:i/>
                <w:iCs/>
                <w:lang w:val="en-US"/>
              </w:rPr>
              <w:t>Potential for the lung recruitment and the risk of lung overdistension during 21 days of mechanical ventilation in patients with COVID-19 after noninvasive ventilation failure: the</w:t>
            </w:r>
            <w:r w:rsidRPr="00C00E7C">
              <w:rPr>
                <w:i/>
                <w:iCs/>
                <w:lang w:val="en-US"/>
              </w:rPr>
              <w:t xml:space="preserve"> </w:t>
            </w:r>
            <w:r>
              <w:rPr>
                <w:i/>
                <w:iCs/>
                <w:lang w:val="nl-NL"/>
              </w:rPr>
              <w:t xml:space="preserve">COVID-VENT observational trial / Andrey I. Yaroshetskiy, Sergey N. Avdeev, Mikhail E. Politov, Pavel V. Nogtev, Victoria G. Beresneva, Yury D. Sorokin, Vasily D. Konanykhin, Anna P. Krasnoshchekova, Zamira M. Merzhoeva, Natalia A. Tsareva, Natalia V. Trushenko, Irina A. Mandel and Andrey G. Yavorovskiy </w:t>
            </w:r>
            <w:r>
              <w:rPr>
                <w:b/>
                <w:bCs/>
                <w:i/>
                <w:iCs/>
                <w:lang w:val="en-US"/>
              </w:rPr>
              <w:t xml:space="preserve">BMC Anesthesiology </w:t>
            </w:r>
            <w:r w:rsidRPr="00C00E7C">
              <w:rPr>
                <w:i/>
                <w:iCs/>
                <w:lang w:val="en-US"/>
              </w:rPr>
              <w:t xml:space="preserve">(2022) 22:59 </w:t>
            </w:r>
            <w:hyperlink r:id="rId10" w:history="1">
              <w:r>
                <w:rPr>
                  <w:rStyle w:val="Hyperlink0"/>
                  <w:i/>
                  <w:iCs/>
                  <w:lang w:val="en-US"/>
                </w:rPr>
                <w:t>https://doi.org/10.1186/s12871-022-01600-0</w:t>
              </w:r>
            </w:hyperlink>
            <w:r w:rsidRPr="00C00E7C">
              <w:rPr>
                <w:i/>
                <w:iCs/>
                <w:lang w:val="en-US"/>
              </w:rPr>
              <w:t xml:space="preserve"> </w:t>
            </w:r>
          </w:p>
          <w:p w:rsidR="00E9607F" w:rsidRDefault="00000000">
            <w:pPr>
              <w:numPr>
                <w:ilvl w:val="0"/>
                <w:numId w:val="2"/>
              </w:numPr>
              <w:spacing w:after="0"/>
              <w:rPr>
                <w:i/>
                <w:iCs/>
                <w:lang w:val="en-US"/>
              </w:rPr>
            </w:pPr>
            <w:r>
              <w:rPr>
                <w:i/>
                <w:iCs/>
                <w:lang w:val="en-US"/>
              </w:rPr>
              <w:t>Effect of vitamin D3 supplementation on cellular immunity and inflammatory markers in COVID-19 patients admitted to the ICU.</w:t>
            </w:r>
            <w:r w:rsidRPr="00C00E7C">
              <w:rPr>
                <w:i/>
                <w:iCs/>
                <w:lang w:val="en-US"/>
              </w:rPr>
              <w:t> Bychinin, M.V., Klypa, T.V., Mandel, I.A., </w:t>
            </w:r>
            <w:r>
              <w:rPr>
                <w:i/>
                <w:iCs/>
                <w:lang w:val="en-US"/>
              </w:rPr>
              <w:t>Yusubalieva, G. M., Baklaushev, V.P., Kolyshkina, N.A., Troitsky, A.V. //</w:t>
            </w:r>
            <w:r w:rsidRPr="00C00E7C">
              <w:rPr>
                <w:b/>
                <w:bCs/>
                <w:i/>
                <w:iCs/>
                <w:lang w:val="en-US"/>
              </w:rPr>
              <w:t xml:space="preserve"> Sci Rep. </w:t>
            </w:r>
            <w:r w:rsidRPr="00C00E7C">
              <w:rPr>
                <w:i/>
                <w:iCs/>
                <w:lang w:val="en-US"/>
              </w:rPr>
              <w:t xml:space="preserve">2022 Nov 3;12(1):18604. </w:t>
            </w:r>
            <w:hyperlink r:id="rId11" w:history="1">
              <w:r>
                <w:rPr>
                  <w:rStyle w:val="Hyperlink0"/>
                  <w:i/>
                  <w:iCs/>
                  <w:lang w:val="en-US"/>
                </w:rPr>
                <w:t>https://doi.org/10.1038/s41598-022-22045-y</w:t>
              </w:r>
            </w:hyperlink>
          </w:p>
        </w:tc>
      </w:tr>
      <w:tr w:rsidR="00E9607F">
        <w:trPr>
          <w:trHeight w:val="4200"/>
        </w:trPr>
        <w:tc>
          <w:tcPr>
            <w:tcW w:w="35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607F" w:rsidRDefault="00E9607F"/>
        </w:tc>
        <w:tc>
          <w:tcPr>
            <w:tcW w:w="63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607F" w:rsidRDefault="00000000">
            <w:pPr>
              <w:spacing w:after="0"/>
            </w:pPr>
            <w:r>
              <w:t xml:space="preserve">Результаты интеллектуальной деятельности </w:t>
            </w:r>
            <w:r>
              <w:rPr>
                <w:i/>
                <w:iCs/>
              </w:rPr>
              <w:t>(при наличии)</w:t>
            </w:r>
          </w:p>
          <w:p w:rsidR="00E9607F" w:rsidRDefault="00000000">
            <w:pPr>
              <w:numPr>
                <w:ilvl w:val="0"/>
                <w:numId w:val="3"/>
              </w:numPr>
              <w:spacing w:after="0"/>
              <w:rPr>
                <w:lang w:val="en-US"/>
              </w:rPr>
            </w:pPr>
            <w:r>
              <w:rPr>
                <w:lang w:val="en-US"/>
              </w:rPr>
              <w:t xml:space="preserve">Influence of Hypoxic and Hyperoxic Preconditioning on Endothelial Function in a Model of Myocardial Ischemia Reperfusion Injury with Cardiopulmonary Bypass (Experimental Study). </w:t>
            </w:r>
          </w:p>
          <w:p w:rsidR="00E9607F" w:rsidRDefault="00000000">
            <w:pPr>
              <w:numPr>
                <w:ilvl w:val="0"/>
                <w:numId w:val="3"/>
              </w:numPr>
              <w:spacing w:after="0"/>
              <w:rPr>
                <w:lang w:val="en-US"/>
              </w:rPr>
            </w:pPr>
            <w:r>
              <w:rPr>
                <w:lang w:val="en-US"/>
              </w:rPr>
              <w:t xml:space="preserve">Nitric oxide provides myocardial protection when added to the cardiopulmonary bypass circuit during cardiac surgery: Randomized trial </w:t>
            </w:r>
          </w:p>
          <w:p w:rsidR="00E9607F" w:rsidRDefault="00000000">
            <w:pPr>
              <w:numPr>
                <w:ilvl w:val="0"/>
                <w:numId w:val="3"/>
              </w:numPr>
              <w:spacing w:after="0"/>
              <w:rPr>
                <w:lang w:val="en-US"/>
              </w:rPr>
            </w:pPr>
            <w:r>
              <w:rPr>
                <w:lang w:val="en-US"/>
              </w:rPr>
              <w:t>Endothelial Function and Hypoxic</w:t>
            </w:r>
            <w:r w:rsidRPr="00C00E7C">
              <w:rPr>
                <w:lang w:val="en-US"/>
              </w:rPr>
              <w:t>–</w:t>
            </w:r>
            <w:r>
              <w:rPr>
                <w:lang w:val="en-US"/>
              </w:rPr>
              <w:t>Hyperoxic Preconditioning in Coronary Surgery with a Cardiopulmonary Bypass: Randomized Clinical Trial.</w:t>
            </w:r>
            <w:r w:rsidRPr="00C00E7C">
              <w:rPr>
                <w:lang w:val="en-US"/>
              </w:rPr>
              <w:t xml:space="preserve"> </w:t>
            </w:r>
          </w:p>
          <w:p w:rsidR="00E9607F" w:rsidRDefault="00000000">
            <w:pPr>
              <w:numPr>
                <w:ilvl w:val="0"/>
                <w:numId w:val="4"/>
              </w:numPr>
              <w:spacing w:after="0"/>
              <w:rPr>
                <w:i/>
                <w:iCs/>
                <w:lang w:val="en-US"/>
              </w:rPr>
            </w:pPr>
            <w:r>
              <w:rPr>
                <w:lang w:val="en-US"/>
              </w:rPr>
              <w:t>Effect of vitamin D3 supplementation on cellular immunity and inflammatory markers in COVID-19 patients admitted to the ICU.</w:t>
            </w:r>
            <w:r w:rsidRPr="00C00E7C">
              <w:rPr>
                <w:lang w:val="en-US"/>
              </w:rPr>
              <w:t> </w:t>
            </w:r>
            <w:r>
              <w:rPr>
                <w:lang w:val="en-US"/>
              </w:rPr>
              <w:t>Randomized Clinical Trial.</w:t>
            </w:r>
          </w:p>
        </w:tc>
      </w:tr>
    </w:tbl>
    <w:p w:rsidR="00E9607F" w:rsidRDefault="00E9607F">
      <w:pPr>
        <w:widowControl w:val="0"/>
        <w:rPr>
          <w:b/>
          <w:bCs/>
        </w:rPr>
      </w:pPr>
    </w:p>
    <w:sectPr w:rsidR="00E9607F">
      <w:headerReference w:type="default" r:id="rId12"/>
      <w:footerReference w:type="default" r:id="rId13"/>
      <w:pgSz w:w="11900" w:h="16840"/>
      <w:pgMar w:top="851" w:right="845" w:bottom="851"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C1351" w:rsidRDefault="00AC1351">
      <w:pPr>
        <w:spacing w:after="0"/>
      </w:pPr>
      <w:r>
        <w:separator/>
      </w:r>
    </w:p>
  </w:endnote>
  <w:endnote w:type="continuationSeparator" w:id="0">
    <w:p w:rsidR="00AC1351" w:rsidRDefault="00AC135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Times Roman">
    <w:altName w:val="Times New Roman"/>
    <w:panose1 w:val="00000500000000020000"/>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9607F" w:rsidRDefault="00000000">
    <w:pPr>
      <w:pStyle w:val="a5"/>
      <w:jc w:val="right"/>
    </w:pPr>
    <w:r>
      <w:fldChar w:fldCharType="begin"/>
    </w:r>
    <w:r>
      <w:instrText xml:space="preserve"> PAGE </w:instrText>
    </w:r>
    <w:r>
      <w:fldChar w:fldCharType="separate"/>
    </w:r>
    <w:r w:rsidR="00C00E7C">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C1351" w:rsidRDefault="00AC1351">
      <w:pPr>
        <w:spacing w:after="0"/>
      </w:pPr>
      <w:r>
        <w:separator/>
      </w:r>
    </w:p>
  </w:footnote>
  <w:footnote w:type="continuationSeparator" w:id="0">
    <w:p w:rsidR="00AC1351" w:rsidRDefault="00AC135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9607F" w:rsidRDefault="00E9607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97183"/>
    <w:multiLevelType w:val="hybridMultilevel"/>
    <w:tmpl w:val="DE8C4292"/>
    <w:lvl w:ilvl="0" w:tplc="2A52F69A">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1E82AD00">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8A80E0CE">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DD78C13A">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44303940">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D9B6B5E6">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BCC693FA">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415CF8CA">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FEC42D60">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BF425E7"/>
    <w:multiLevelType w:val="hybridMultilevel"/>
    <w:tmpl w:val="7C30B672"/>
    <w:lvl w:ilvl="0" w:tplc="B88438C4">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43D0D2D2">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37EE229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3D149D44">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A1CA61F8">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029A2F9C">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F3B283E8">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CBDC4928">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16DE8A38">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D150B41"/>
    <w:multiLevelType w:val="hybridMultilevel"/>
    <w:tmpl w:val="F0CC4B78"/>
    <w:lvl w:ilvl="0" w:tplc="B5ACF77A">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85F81BE0">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A2D69E06">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B5A884E8">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5AFCD336">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6AA0DA20">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AFEC6CB6">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19868F7A">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DC4CE626">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0BB2B4F"/>
    <w:multiLevelType w:val="hybridMultilevel"/>
    <w:tmpl w:val="7E5AB18C"/>
    <w:lvl w:ilvl="0" w:tplc="E7F682AC">
      <w:start w:val="1"/>
      <w:numFmt w:val="decimal"/>
      <w:lvlText w:val="%1."/>
      <w:lvlJc w:val="left"/>
      <w:pPr>
        <w:ind w:left="253" w:hanging="253"/>
      </w:pPr>
      <w:rPr>
        <w:rFonts w:hAnsi="Arial Unicode MS"/>
        <w:i/>
        <w:iCs/>
        <w:caps w:val="0"/>
        <w:smallCaps w:val="0"/>
        <w:strike w:val="0"/>
        <w:dstrike w:val="0"/>
        <w:outline w:val="0"/>
        <w:emboss w:val="0"/>
        <w:imprint w:val="0"/>
        <w:spacing w:val="0"/>
        <w:w w:val="100"/>
        <w:kern w:val="0"/>
        <w:position w:val="0"/>
        <w:highlight w:val="none"/>
        <w:vertAlign w:val="baseline"/>
      </w:rPr>
    </w:lvl>
    <w:lvl w:ilvl="1" w:tplc="636A6AA4">
      <w:start w:val="1"/>
      <w:numFmt w:val="decimal"/>
      <w:lvlText w:val="%2."/>
      <w:lvlJc w:val="left"/>
      <w:pPr>
        <w:ind w:left="1053" w:hanging="253"/>
      </w:pPr>
      <w:rPr>
        <w:rFonts w:hAnsi="Arial Unicode MS"/>
        <w:i/>
        <w:iCs/>
        <w:caps w:val="0"/>
        <w:smallCaps w:val="0"/>
        <w:strike w:val="0"/>
        <w:dstrike w:val="0"/>
        <w:outline w:val="0"/>
        <w:emboss w:val="0"/>
        <w:imprint w:val="0"/>
        <w:spacing w:val="0"/>
        <w:w w:val="100"/>
        <w:kern w:val="0"/>
        <w:position w:val="0"/>
        <w:highlight w:val="none"/>
        <w:vertAlign w:val="baseline"/>
      </w:rPr>
    </w:lvl>
    <w:lvl w:ilvl="2" w:tplc="895AA238">
      <w:start w:val="1"/>
      <w:numFmt w:val="decimal"/>
      <w:lvlText w:val="%3."/>
      <w:lvlJc w:val="left"/>
      <w:pPr>
        <w:ind w:left="1853" w:hanging="253"/>
      </w:pPr>
      <w:rPr>
        <w:rFonts w:hAnsi="Arial Unicode MS"/>
        <w:i/>
        <w:iCs/>
        <w:caps w:val="0"/>
        <w:smallCaps w:val="0"/>
        <w:strike w:val="0"/>
        <w:dstrike w:val="0"/>
        <w:outline w:val="0"/>
        <w:emboss w:val="0"/>
        <w:imprint w:val="0"/>
        <w:spacing w:val="0"/>
        <w:w w:val="100"/>
        <w:kern w:val="0"/>
        <w:position w:val="0"/>
        <w:highlight w:val="none"/>
        <w:vertAlign w:val="baseline"/>
      </w:rPr>
    </w:lvl>
    <w:lvl w:ilvl="3" w:tplc="DFF43648">
      <w:start w:val="1"/>
      <w:numFmt w:val="decimal"/>
      <w:lvlText w:val="%4."/>
      <w:lvlJc w:val="left"/>
      <w:pPr>
        <w:ind w:left="2653" w:hanging="253"/>
      </w:pPr>
      <w:rPr>
        <w:rFonts w:hAnsi="Arial Unicode MS"/>
        <w:i/>
        <w:iCs/>
        <w:caps w:val="0"/>
        <w:smallCaps w:val="0"/>
        <w:strike w:val="0"/>
        <w:dstrike w:val="0"/>
        <w:outline w:val="0"/>
        <w:emboss w:val="0"/>
        <w:imprint w:val="0"/>
        <w:spacing w:val="0"/>
        <w:w w:val="100"/>
        <w:kern w:val="0"/>
        <w:position w:val="0"/>
        <w:highlight w:val="none"/>
        <w:vertAlign w:val="baseline"/>
      </w:rPr>
    </w:lvl>
    <w:lvl w:ilvl="4" w:tplc="B16869CA">
      <w:start w:val="1"/>
      <w:numFmt w:val="decimal"/>
      <w:lvlText w:val="%5."/>
      <w:lvlJc w:val="left"/>
      <w:pPr>
        <w:ind w:left="3453" w:hanging="253"/>
      </w:pPr>
      <w:rPr>
        <w:rFonts w:hAnsi="Arial Unicode MS"/>
        <w:i/>
        <w:iCs/>
        <w:caps w:val="0"/>
        <w:smallCaps w:val="0"/>
        <w:strike w:val="0"/>
        <w:dstrike w:val="0"/>
        <w:outline w:val="0"/>
        <w:emboss w:val="0"/>
        <w:imprint w:val="0"/>
        <w:spacing w:val="0"/>
        <w:w w:val="100"/>
        <w:kern w:val="0"/>
        <w:position w:val="0"/>
        <w:highlight w:val="none"/>
        <w:vertAlign w:val="baseline"/>
      </w:rPr>
    </w:lvl>
    <w:lvl w:ilvl="5" w:tplc="0A385F1A">
      <w:start w:val="1"/>
      <w:numFmt w:val="decimal"/>
      <w:lvlText w:val="%6."/>
      <w:lvlJc w:val="left"/>
      <w:pPr>
        <w:ind w:left="4253" w:hanging="253"/>
      </w:pPr>
      <w:rPr>
        <w:rFonts w:hAnsi="Arial Unicode MS"/>
        <w:i/>
        <w:iCs/>
        <w:caps w:val="0"/>
        <w:smallCaps w:val="0"/>
        <w:strike w:val="0"/>
        <w:dstrike w:val="0"/>
        <w:outline w:val="0"/>
        <w:emboss w:val="0"/>
        <w:imprint w:val="0"/>
        <w:spacing w:val="0"/>
        <w:w w:val="100"/>
        <w:kern w:val="0"/>
        <w:position w:val="0"/>
        <w:highlight w:val="none"/>
        <w:vertAlign w:val="baseline"/>
      </w:rPr>
    </w:lvl>
    <w:lvl w:ilvl="6" w:tplc="E862B8AC">
      <w:start w:val="1"/>
      <w:numFmt w:val="decimal"/>
      <w:lvlText w:val="%7."/>
      <w:lvlJc w:val="left"/>
      <w:pPr>
        <w:ind w:left="5053" w:hanging="253"/>
      </w:pPr>
      <w:rPr>
        <w:rFonts w:hAnsi="Arial Unicode MS"/>
        <w:i/>
        <w:iCs/>
        <w:caps w:val="0"/>
        <w:smallCaps w:val="0"/>
        <w:strike w:val="0"/>
        <w:dstrike w:val="0"/>
        <w:outline w:val="0"/>
        <w:emboss w:val="0"/>
        <w:imprint w:val="0"/>
        <w:spacing w:val="0"/>
        <w:w w:val="100"/>
        <w:kern w:val="0"/>
        <w:position w:val="0"/>
        <w:highlight w:val="none"/>
        <w:vertAlign w:val="baseline"/>
      </w:rPr>
    </w:lvl>
    <w:lvl w:ilvl="7" w:tplc="4FB42C74">
      <w:start w:val="1"/>
      <w:numFmt w:val="decimal"/>
      <w:lvlText w:val="%8."/>
      <w:lvlJc w:val="left"/>
      <w:pPr>
        <w:ind w:left="5853" w:hanging="253"/>
      </w:pPr>
      <w:rPr>
        <w:rFonts w:hAnsi="Arial Unicode MS"/>
        <w:i/>
        <w:iCs/>
        <w:caps w:val="0"/>
        <w:smallCaps w:val="0"/>
        <w:strike w:val="0"/>
        <w:dstrike w:val="0"/>
        <w:outline w:val="0"/>
        <w:emboss w:val="0"/>
        <w:imprint w:val="0"/>
        <w:spacing w:val="0"/>
        <w:w w:val="100"/>
        <w:kern w:val="0"/>
        <w:position w:val="0"/>
        <w:highlight w:val="none"/>
        <w:vertAlign w:val="baseline"/>
      </w:rPr>
    </w:lvl>
    <w:lvl w:ilvl="8" w:tplc="E018A47C">
      <w:start w:val="1"/>
      <w:numFmt w:val="decimal"/>
      <w:lvlText w:val="%9."/>
      <w:lvlJc w:val="left"/>
      <w:pPr>
        <w:ind w:left="6653" w:hanging="253"/>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77001CF0"/>
    <w:multiLevelType w:val="hybridMultilevel"/>
    <w:tmpl w:val="AD229B0C"/>
    <w:lvl w:ilvl="0" w:tplc="9F38B694">
      <w:start w:val="1"/>
      <w:numFmt w:val="decimal"/>
      <w:lvlText w:val="%1."/>
      <w:lvlJc w:val="left"/>
      <w:pPr>
        <w:ind w:left="253" w:hanging="253"/>
      </w:pPr>
      <w:rPr>
        <w:rFonts w:hAnsi="Arial Unicode MS"/>
        <w:i/>
        <w:iCs/>
        <w:caps w:val="0"/>
        <w:smallCaps w:val="0"/>
        <w:strike w:val="0"/>
        <w:dstrike w:val="0"/>
        <w:outline w:val="0"/>
        <w:emboss w:val="0"/>
        <w:imprint w:val="0"/>
        <w:spacing w:val="0"/>
        <w:w w:val="100"/>
        <w:kern w:val="0"/>
        <w:position w:val="0"/>
        <w:highlight w:val="none"/>
        <w:vertAlign w:val="baseline"/>
      </w:rPr>
    </w:lvl>
    <w:lvl w:ilvl="1" w:tplc="D09A1A30">
      <w:start w:val="1"/>
      <w:numFmt w:val="decimal"/>
      <w:lvlText w:val="%2."/>
      <w:lvlJc w:val="left"/>
      <w:pPr>
        <w:ind w:left="1053" w:hanging="253"/>
      </w:pPr>
      <w:rPr>
        <w:rFonts w:hAnsi="Arial Unicode MS"/>
        <w:i/>
        <w:iCs/>
        <w:caps w:val="0"/>
        <w:smallCaps w:val="0"/>
        <w:strike w:val="0"/>
        <w:dstrike w:val="0"/>
        <w:outline w:val="0"/>
        <w:emboss w:val="0"/>
        <w:imprint w:val="0"/>
        <w:spacing w:val="0"/>
        <w:w w:val="100"/>
        <w:kern w:val="0"/>
        <w:position w:val="0"/>
        <w:highlight w:val="none"/>
        <w:vertAlign w:val="baseline"/>
      </w:rPr>
    </w:lvl>
    <w:lvl w:ilvl="2" w:tplc="06BCCDBC">
      <w:start w:val="1"/>
      <w:numFmt w:val="decimal"/>
      <w:lvlText w:val="%3."/>
      <w:lvlJc w:val="left"/>
      <w:pPr>
        <w:ind w:left="1853" w:hanging="253"/>
      </w:pPr>
      <w:rPr>
        <w:rFonts w:hAnsi="Arial Unicode MS"/>
        <w:i/>
        <w:iCs/>
        <w:caps w:val="0"/>
        <w:smallCaps w:val="0"/>
        <w:strike w:val="0"/>
        <w:dstrike w:val="0"/>
        <w:outline w:val="0"/>
        <w:emboss w:val="0"/>
        <w:imprint w:val="0"/>
        <w:spacing w:val="0"/>
        <w:w w:val="100"/>
        <w:kern w:val="0"/>
        <w:position w:val="0"/>
        <w:highlight w:val="none"/>
        <w:vertAlign w:val="baseline"/>
      </w:rPr>
    </w:lvl>
    <w:lvl w:ilvl="3" w:tplc="2FCCF238">
      <w:start w:val="1"/>
      <w:numFmt w:val="decimal"/>
      <w:lvlText w:val="%4."/>
      <w:lvlJc w:val="left"/>
      <w:pPr>
        <w:ind w:left="2653" w:hanging="253"/>
      </w:pPr>
      <w:rPr>
        <w:rFonts w:hAnsi="Arial Unicode MS"/>
        <w:i/>
        <w:iCs/>
        <w:caps w:val="0"/>
        <w:smallCaps w:val="0"/>
        <w:strike w:val="0"/>
        <w:dstrike w:val="0"/>
        <w:outline w:val="0"/>
        <w:emboss w:val="0"/>
        <w:imprint w:val="0"/>
        <w:spacing w:val="0"/>
        <w:w w:val="100"/>
        <w:kern w:val="0"/>
        <w:position w:val="0"/>
        <w:highlight w:val="none"/>
        <w:vertAlign w:val="baseline"/>
      </w:rPr>
    </w:lvl>
    <w:lvl w:ilvl="4" w:tplc="0464E40E">
      <w:start w:val="1"/>
      <w:numFmt w:val="decimal"/>
      <w:lvlText w:val="%5."/>
      <w:lvlJc w:val="left"/>
      <w:pPr>
        <w:ind w:left="3453" w:hanging="253"/>
      </w:pPr>
      <w:rPr>
        <w:rFonts w:hAnsi="Arial Unicode MS"/>
        <w:i/>
        <w:iCs/>
        <w:caps w:val="0"/>
        <w:smallCaps w:val="0"/>
        <w:strike w:val="0"/>
        <w:dstrike w:val="0"/>
        <w:outline w:val="0"/>
        <w:emboss w:val="0"/>
        <w:imprint w:val="0"/>
        <w:spacing w:val="0"/>
        <w:w w:val="100"/>
        <w:kern w:val="0"/>
        <w:position w:val="0"/>
        <w:highlight w:val="none"/>
        <w:vertAlign w:val="baseline"/>
      </w:rPr>
    </w:lvl>
    <w:lvl w:ilvl="5" w:tplc="B1385BCC">
      <w:start w:val="1"/>
      <w:numFmt w:val="decimal"/>
      <w:lvlText w:val="%6."/>
      <w:lvlJc w:val="left"/>
      <w:pPr>
        <w:ind w:left="4253" w:hanging="253"/>
      </w:pPr>
      <w:rPr>
        <w:rFonts w:hAnsi="Arial Unicode MS"/>
        <w:i/>
        <w:iCs/>
        <w:caps w:val="0"/>
        <w:smallCaps w:val="0"/>
        <w:strike w:val="0"/>
        <w:dstrike w:val="0"/>
        <w:outline w:val="0"/>
        <w:emboss w:val="0"/>
        <w:imprint w:val="0"/>
        <w:spacing w:val="0"/>
        <w:w w:val="100"/>
        <w:kern w:val="0"/>
        <w:position w:val="0"/>
        <w:highlight w:val="none"/>
        <w:vertAlign w:val="baseline"/>
      </w:rPr>
    </w:lvl>
    <w:lvl w:ilvl="6" w:tplc="19A08802">
      <w:start w:val="1"/>
      <w:numFmt w:val="decimal"/>
      <w:lvlText w:val="%7."/>
      <w:lvlJc w:val="left"/>
      <w:pPr>
        <w:ind w:left="5053" w:hanging="253"/>
      </w:pPr>
      <w:rPr>
        <w:rFonts w:hAnsi="Arial Unicode MS"/>
        <w:i/>
        <w:iCs/>
        <w:caps w:val="0"/>
        <w:smallCaps w:val="0"/>
        <w:strike w:val="0"/>
        <w:dstrike w:val="0"/>
        <w:outline w:val="0"/>
        <w:emboss w:val="0"/>
        <w:imprint w:val="0"/>
        <w:spacing w:val="0"/>
        <w:w w:val="100"/>
        <w:kern w:val="0"/>
        <w:position w:val="0"/>
        <w:highlight w:val="none"/>
        <w:vertAlign w:val="baseline"/>
      </w:rPr>
    </w:lvl>
    <w:lvl w:ilvl="7" w:tplc="3B5474B0">
      <w:start w:val="1"/>
      <w:numFmt w:val="decimal"/>
      <w:lvlText w:val="%8."/>
      <w:lvlJc w:val="left"/>
      <w:pPr>
        <w:ind w:left="5853" w:hanging="253"/>
      </w:pPr>
      <w:rPr>
        <w:rFonts w:hAnsi="Arial Unicode MS"/>
        <w:i/>
        <w:iCs/>
        <w:caps w:val="0"/>
        <w:smallCaps w:val="0"/>
        <w:strike w:val="0"/>
        <w:dstrike w:val="0"/>
        <w:outline w:val="0"/>
        <w:emboss w:val="0"/>
        <w:imprint w:val="0"/>
        <w:spacing w:val="0"/>
        <w:w w:val="100"/>
        <w:kern w:val="0"/>
        <w:position w:val="0"/>
        <w:highlight w:val="none"/>
        <w:vertAlign w:val="baseline"/>
      </w:rPr>
    </w:lvl>
    <w:lvl w:ilvl="8" w:tplc="0A747FE8">
      <w:start w:val="1"/>
      <w:numFmt w:val="decimal"/>
      <w:lvlText w:val="%9."/>
      <w:lvlJc w:val="left"/>
      <w:pPr>
        <w:ind w:left="6653" w:hanging="253"/>
      </w:pPr>
      <w:rPr>
        <w:rFonts w:hAnsi="Arial Unicode MS"/>
        <w:i/>
        <w:iCs/>
        <w:caps w:val="0"/>
        <w:smallCaps w:val="0"/>
        <w:strike w:val="0"/>
        <w:dstrike w:val="0"/>
        <w:outline w:val="0"/>
        <w:emboss w:val="0"/>
        <w:imprint w:val="0"/>
        <w:spacing w:val="0"/>
        <w:w w:val="100"/>
        <w:kern w:val="0"/>
        <w:position w:val="0"/>
        <w:highlight w:val="none"/>
        <w:vertAlign w:val="baseline"/>
      </w:rPr>
    </w:lvl>
  </w:abstractNum>
  <w:num w:numId="1" w16cid:durableId="1321958716">
    <w:abstractNumId w:val="1"/>
  </w:num>
  <w:num w:numId="2" w16cid:durableId="731002587">
    <w:abstractNumId w:val="4"/>
  </w:num>
  <w:num w:numId="3" w16cid:durableId="697893111">
    <w:abstractNumId w:val="0"/>
  </w:num>
  <w:num w:numId="4" w16cid:durableId="686172442">
    <w:abstractNumId w:val="0"/>
    <w:lvlOverride w:ilvl="0">
      <w:lvl w:ilvl="0" w:tplc="2A52F69A">
        <w:start w:val="1"/>
        <w:numFmt w:val="decimal"/>
        <w:lvlText w:val="%1."/>
        <w:lvlJc w:val="left"/>
        <w:pPr>
          <w:ind w:left="253" w:hanging="25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1">
      <w:lvl w:ilvl="1" w:tplc="1E82AD00">
        <w:start w:val="1"/>
        <w:numFmt w:val="decimal"/>
        <w:lvlText w:val="%2."/>
        <w:lvlJc w:val="left"/>
        <w:pPr>
          <w:ind w:left="1053" w:hanging="25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2">
      <w:lvl w:ilvl="2" w:tplc="8A80E0CE">
        <w:start w:val="1"/>
        <w:numFmt w:val="decimal"/>
        <w:lvlText w:val="%3."/>
        <w:lvlJc w:val="left"/>
        <w:pPr>
          <w:ind w:left="1853" w:hanging="25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lvl w:ilvl="3" w:tplc="DD78C13A">
        <w:start w:val="1"/>
        <w:numFmt w:val="decimal"/>
        <w:lvlText w:val="%4."/>
        <w:lvlJc w:val="left"/>
        <w:pPr>
          <w:ind w:left="2653" w:hanging="25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lvl w:ilvl="4" w:tplc="44303940">
        <w:start w:val="1"/>
        <w:numFmt w:val="decimal"/>
        <w:lvlText w:val="%5."/>
        <w:lvlJc w:val="left"/>
        <w:pPr>
          <w:ind w:left="3453" w:hanging="25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lvl w:ilvl="5" w:tplc="D9B6B5E6">
        <w:start w:val="1"/>
        <w:numFmt w:val="decimal"/>
        <w:lvlText w:val="%6."/>
        <w:lvlJc w:val="left"/>
        <w:pPr>
          <w:ind w:left="4253" w:hanging="25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lvl w:ilvl="6" w:tplc="BCC693FA">
        <w:start w:val="1"/>
        <w:numFmt w:val="decimal"/>
        <w:lvlText w:val="%7."/>
        <w:lvlJc w:val="left"/>
        <w:pPr>
          <w:ind w:left="5053" w:hanging="25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lvl w:ilvl="7" w:tplc="415CF8CA">
        <w:start w:val="1"/>
        <w:numFmt w:val="decimal"/>
        <w:lvlText w:val="%8."/>
        <w:lvlJc w:val="left"/>
        <w:pPr>
          <w:ind w:left="5853" w:hanging="25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lvl w:ilvl="8" w:tplc="FEC42D60">
        <w:start w:val="1"/>
        <w:numFmt w:val="decimal"/>
        <w:lvlText w:val="%9."/>
        <w:lvlJc w:val="left"/>
        <w:pPr>
          <w:ind w:left="6653" w:hanging="253"/>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5" w16cid:durableId="1439911047">
    <w:abstractNumId w:val="3"/>
  </w:num>
  <w:num w:numId="6" w16cid:durableId="534083214">
    <w:abstractNumId w:val="2"/>
  </w:num>
  <w:num w:numId="7" w16cid:durableId="753285984">
    <w:abstractNumId w:val="2"/>
    <w:lvlOverride w:ilvl="0">
      <w:lvl w:ilvl="0" w:tplc="B5ACF77A">
        <w:start w:val="1"/>
        <w:numFmt w:val="decimal"/>
        <w:lvlText w:val="%1."/>
        <w:lvlJc w:val="left"/>
        <w:pPr>
          <w:ind w:left="253" w:hanging="25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1">
      <w:lvl w:ilvl="1" w:tplc="85F81BE0">
        <w:start w:val="1"/>
        <w:numFmt w:val="decimal"/>
        <w:lvlText w:val="%2."/>
        <w:lvlJc w:val="left"/>
        <w:pPr>
          <w:ind w:left="1053" w:hanging="25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2">
      <w:lvl w:ilvl="2" w:tplc="A2D69E06">
        <w:start w:val="1"/>
        <w:numFmt w:val="decimal"/>
        <w:lvlText w:val="%3."/>
        <w:lvlJc w:val="left"/>
        <w:pPr>
          <w:ind w:left="1853" w:hanging="25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lvl w:ilvl="3" w:tplc="B5A884E8">
        <w:start w:val="1"/>
        <w:numFmt w:val="decimal"/>
        <w:lvlText w:val="%4."/>
        <w:lvlJc w:val="left"/>
        <w:pPr>
          <w:ind w:left="2653" w:hanging="25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lvl w:ilvl="4" w:tplc="5AFCD336">
        <w:start w:val="1"/>
        <w:numFmt w:val="decimal"/>
        <w:lvlText w:val="%5."/>
        <w:lvlJc w:val="left"/>
        <w:pPr>
          <w:ind w:left="3453" w:hanging="25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lvl w:ilvl="5" w:tplc="6AA0DA20">
        <w:start w:val="1"/>
        <w:numFmt w:val="decimal"/>
        <w:lvlText w:val="%6."/>
        <w:lvlJc w:val="left"/>
        <w:pPr>
          <w:ind w:left="4253" w:hanging="25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lvl w:ilvl="6" w:tplc="AFEC6CB6">
        <w:start w:val="1"/>
        <w:numFmt w:val="decimal"/>
        <w:lvlText w:val="%7."/>
        <w:lvlJc w:val="left"/>
        <w:pPr>
          <w:ind w:left="5053" w:hanging="25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lvl w:ilvl="7" w:tplc="19868F7A">
        <w:start w:val="1"/>
        <w:numFmt w:val="decimal"/>
        <w:lvlText w:val="%8."/>
        <w:lvlJc w:val="left"/>
        <w:pPr>
          <w:ind w:left="5853" w:hanging="253"/>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lvl w:ilvl="8" w:tplc="DC4CE626">
        <w:start w:val="1"/>
        <w:numFmt w:val="decimal"/>
        <w:lvlText w:val="%9."/>
        <w:lvlJc w:val="left"/>
        <w:pPr>
          <w:ind w:left="6653" w:hanging="253"/>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07F"/>
    <w:rsid w:val="000212E1"/>
    <w:rsid w:val="00AC1351"/>
    <w:rsid w:val="00B16EFB"/>
    <w:rsid w:val="00C00E7C"/>
    <w:rsid w:val="00E960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3724DF39"/>
  <w15:docId w15:val="{28E2E354-F0CF-BB41-96D8-AB16C6E46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20"/>
      <w:jc w:val="both"/>
    </w:pPr>
    <w:rPr>
      <w:rFonts w:cs="Arial Unicode MS"/>
      <w:color w:val="000000"/>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Колонтитулы"/>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a5">
    <w:name w:val="footer"/>
    <w:pPr>
      <w:tabs>
        <w:tab w:val="center" w:pos="4677"/>
        <w:tab w:val="right" w:pos="9355"/>
      </w:tabs>
      <w:jc w:val="both"/>
    </w:pPr>
    <w:rPr>
      <w:rFonts w:cs="Arial Unicode MS"/>
      <w:color w:val="000000"/>
      <w:sz w:val="24"/>
      <w:szCs w:val="24"/>
      <w:u w:color="000000"/>
    </w:rPr>
  </w:style>
  <w:style w:type="paragraph" w:customStyle="1" w:styleId="a6">
    <w:name w:val="По умолчанию"/>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Hyperlink0">
    <w:name w:val="Hyperlink.0"/>
    <w:basedOn w:val="a3"/>
    <w:rPr>
      <w:outline w:val="0"/>
      <w:color w:val="0563C1"/>
      <w:u w:val="single" w:color="0563C1"/>
    </w:rPr>
  </w:style>
  <w:style w:type="character" w:customStyle="1" w:styleId="Hyperlink1">
    <w:name w:val="Hyperlink.1"/>
    <w:basedOn w:val="Hyperlink0"/>
    <w:rPr>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i.org/10.1016/j.jtcvs.2018.08.117"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s41598-022-22045-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oi.org/10.1186/s12871-022-01600-0" TargetMode="External"/><Relationship Id="rId4" Type="http://schemas.openxmlformats.org/officeDocument/2006/relationships/webSettings" Target="webSettings.xml"/><Relationship Id="rId9" Type="http://schemas.openxmlformats.org/officeDocument/2006/relationships/hyperlink" Target="https://doi.org/10.3390/biomedicines1104104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1066</Words>
  <Characters>6077</Characters>
  <Application>Microsoft Office Word</Application>
  <DocSecurity>0</DocSecurity>
  <Lines>50</Lines>
  <Paragraphs>14</Paragraphs>
  <ScaleCrop>false</ScaleCrop>
  <Company/>
  <LinksUpToDate>false</LinksUpToDate>
  <CharactersWithSpaces>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Victoria Morozova</cp:lastModifiedBy>
  <cp:revision>3</cp:revision>
  <dcterms:created xsi:type="dcterms:W3CDTF">2023-09-29T17:32:00Z</dcterms:created>
  <dcterms:modified xsi:type="dcterms:W3CDTF">2023-09-29T17:33:00Z</dcterms:modified>
</cp:coreProperties>
</file>