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315"/>
        <w:gridCol w:w="291"/>
      </w:tblGrid>
      <w:tr w:rsidR="006C1DA8" w:rsidRPr="00654456" w:rsidTr="00CF1D5C">
        <w:trPr>
          <w:gridAfter w:val="1"/>
          <w:wAfter w:w="291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</w:t>
            </w:r>
            <w:r w:rsidR="003342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УНИВЕРСИТЕТ имени И.М.СЕЧЕНОВА (Сеченовский Университет)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Факультет    лечебный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Кафедра    Клинической фармакологии и пропедевтики внутренних болезней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A8" w:rsidRPr="006C1DA8" w:rsidRDefault="006C1DA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1DA8" w:rsidRPr="006C1DA8" w:rsidRDefault="00334258" w:rsidP="0033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   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/  Ших Е.В./</w:t>
            </w:r>
          </w:p>
          <w:p w:rsidR="006C1DA8" w:rsidRDefault="0033425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A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81AED">
              <w:rPr>
                <w:rFonts w:ascii="Times New Roman" w:hAnsi="Times New Roman" w:cs="Times New Roman"/>
                <w:sz w:val="24"/>
                <w:szCs w:val="24"/>
              </w:rPr>
              <w:t>_____ » _____________  202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6C1DA8" w:rsidRPr="00F35C40" w:rsidRDefault="006C1DA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A8" w:rsidRPr="00F35C40" w:rsidTr="00CF1D5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 по дисциплине</w:t>
            </w:r>
          </w:p>
          <w:p w:rsidR="00334258" w:rsidRDefault="006C1DA8" w:rsidP="0033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Клиническая фармакогенетика</w:t>
            </w: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80"/>
        <w:gridCol w:w="5475"/>
        <w:gridCol w:w="1059"/>
        <w:gridCol w:w="1134"/>
        <w:gridCol w:w="850"/>
      </w:tblGrid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681AE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681AE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Практи-ческие занятия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334258" w:rsidRPr="00334258" w:rsidRDefault="004C053A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258" w:rsidRPr="003342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258" w:rsidRPr="00334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34258" w:rsidRPr="00334258" w:rsidRDefault="004C053A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vAlign w:val="center"/>
          </w:tcPr>
          <w:p w:rsidR="00334258" w:rsidRPr="00A83D71" w:rsidRDefault="00334258" w:rsidP="00A83D7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Предмет и задачи клинической фармакогенетики как инструмента персонализированной медицины.</w:t>
            </w:r>
            <w:r w:rsidR="00A83D71"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 (доц. Аникин Г.С.)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:rsidR="004C053A" w:rsidRDefault="004C053A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334258" w:rsidRPr="00334258" w:rsidRDefault="004C053A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vAlign w:val="center"/>
          </w:tcPr>
          <w:p w:rsidR="00334258" w:rsidRPr="00A83D71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Значение фармакогенетических исследований для клинициста. Источники фармакогенетической информации (доц.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4C053A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334258" w:rsidRPr="00334258" w:rsidRDefault="004C053A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334258" w:rsidRPr="00334258" w:rsidRDefault="004C053A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vAlign w:val="center"/>
          </w:tcPr>
          <w:p w:rsidR="00A83D71" w:rsidRPr="00A83D71" w:rsidRDefault="00A83D71" w:rsidP="00A83D7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фармакогенетических исследований биотрансформации для клинициста </w:t>
            </w:r>
          </w:p>
          <w:p w:rsidR="00334258" w:rsidRPr="00A83D71" w:rsidRDefault="00A83D71" w:rsidP="00A83D7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334258">
        <w:trPr>
          <w:jc w:val="center"/>
        </w:trPr>
        <w:tc>
          <w:tcPr>
            <w:tcW w:w="619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vAlign w:val="center"/>
          </w:tcPr>
          <w:p w:rsidR="00A83D71" w:rsidRPr="00A83D71" w:rsidRDefault="00A83D71" w:rsidP="00C54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биотрансформации лекарственных средств.  (доц. Аникин Г.С.)</w:t>
            </w:r>
          </w:p>
        </w:tc>
        <w:tc>
          <w:tcPr>
            <w:tcW w:w="1059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334258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vAlign w:val="center"/>
          </w:tcPr>
          <w:p w:rsidR="00A83D71" w:rsidRPr="00A83D71" w:rsidRDefault="00A83D71" w:rsidP="00A83D7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Значение фармакогенетических исследований биотрансформации I фазы для клинициста (доц. Аникин Г.С.)</w:t>
            </w:r>
          </w:p>
        </w:tc>
        <w:tc>
          <w:tcPr>
            <w:tcW w:w="1059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A83D71" w:rsidRPr="00334258" w:rsidRDefault="00A83D71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71" w:rsidRPr="00334258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A83D71" w:rsidRDefault="00A83D71" w:rsidP="00C54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Значение фармакогенетических исследований биотрансформации II фазы для клинициста (доц. Аникин Г.С.)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1" w:rsidRPr="004C053A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A83D71" w:rsidRPr="00334258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A83D71" w:rsidRDefault="00A83D71" w:rsidP="00A83D7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фармакогенетических исследований </w:t>
            </w:r>
            <w:r w:rsidRPr="00A8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транспортеров лекарственных средств для клинициста (доц. Аникин Г.С.)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1" w:rsidRPr="004C053A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A83D71">
        <w:trPr>
          <w:trHeight w:val="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A83D71" w:rsidRPr="00334258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A83D71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Значение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рмакогенетических исследований </w:t>
            </w:r>
            <w:r w:rsidRPr="00A8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SLC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транспортеров лекарственных средств для клинициста (доц. Аникин Г.С.)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1" w:rsidRPr="004C053A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71" w:rsidTr="00A83D71">
        <w:trPr>
          <w:trHeight w:val="5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A83D71" w:rsidRPr="00334258" w:rsidRDefault="00A83D71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A83D71" w:rsidRDefault="00C6598E" w:rsidP="00743D15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Полногеномный </w:t>
            </w:r>
            <w:r w:rsidR="00743D15">
              <w:rPr>
                <w:rFonts w:ascii="Times New Roman" w:hAnsi="Times New Roman" w:cs="Times New Roman"/>
                <w:sz w:val="24"/>
                <w:szCs w:val="24"/>
              </w:rPr>
              <w:t>поиск ассоциаций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1" w:rsidRPr="004C053A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71" w:rsidRPr="00334258" w:rsidRDefault="00A83D71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A83D71" w:rsidRDefault="00C6598E" w:rsidP="000C6489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 xml:space="preserve">Омики» как будущее персонализированной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A83D71" w:rsidRDefault="00C6598E" w:rsidP="0055325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Значение выявление соматических мутаций в опухолях и фармакотранскриптомных тестов для персонализации применения таргетных препаратов в онкологической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A83D71" w:rsidRDefault="00C6598E" w:rsidP="00434CC9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в кардиологии (часть 1)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A83D71" w:rsidRDefault="00C6598E" w:rsidP="00A269D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в кардиологии (часть 2)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B14C4E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в неврологии и психиатрии (часть 1)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FF09B4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в неврологии и психиатрии (часть 2)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EB346F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в ревматологии (часть 2)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C6598E" w:rsidRDefault="00C6598E" w:rsidP="00C6598E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фармакогенетических тестов при лечении инфекционных заболеваний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аспекты фармакогенетики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003CC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Отечественный опыт практического применения фармакогенетики </w:t>
            </w:r>
            <w:r w:rsidRPr="00A83D71">
              <w:rPr>
                <w:rFonts w:ascii="Times New Roman" w:hAnsi="Times New Roman" w:cs="Times New Roman"/>
                <w:sz w:val="24"/>
                <w:szCs w:val="24"/>
              </w:rPr>
              <w:t>(доц. Аникин Г.С.).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8E" w:rsidRPr="004C053A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8E" w:rsidTr="0033425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A83D71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8E" w:rsidRPr="00334258" w:rsidRDefault="00C6598E" w:rsidP="004C05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07A3B" w:rsidRDefault="00007A3B"/>
    <w:p w:rsidR="003775E2" w:rsidRDefault="003775E2"/>
    <w:p w:rsidR="003775E2" w:rsidRPr="00401232" w:rsidRDefault="003775E2" w:rsidP="00A83D71">
      <w:pPr>
        <w:shd w:val="clear" w:color="auto" w:fill="FFFFFF"/>
        <w:spacing w:beforeLines="20" w:before="48" w:afterLines="20" w:after="48" w:line="216" w:lineRule="auto"/>
        <w:ind w:rightChars="-28" w:right="-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232">
        <w:rPr>
          <w:rFonts w:ascii="Times New Roman" w:hAnsi="Times New Roman" w:cs="Times New Roman"/>
          <w:i/>
          <w:sz w:val="28"/>
          <w:szCs w:val="28"/>
        </w:rPr>
        <w:t>Рекомендуемая литература:</w:t>
      </w:r>
    </w:p>
    <w:p w:rsidR="00C6598E" w:rsidRPr="00401232" w:rsidRDefault="00C6598E" w:rsidP="0040123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232">
        <w:rPr>
          <w:rFonts w:ascii="Times New Roman" w:hAnsi="Times New Roman" w:cs="Times New Roman"/>
          <w:sz w:val="28"/>
          <w:szCs w:val="28"/>
        </w:rPr>
        <w:t>Значение полиморфизма гена MDR1 для индивидуализации анальгетической терапии в онкологии (https://pharmacogenetics-pharmacogenomics.ru/articles/item/znachenie-polimorfizma-gena-mdr1-dlya-individualizatsii-analgeticheskoj-terapii-v-onkologii?version=desktop)</w:t>
      </w:r>
    </w:p>
    <w:p w:rsidR="00C6598E" w:rsidRDefault="00C6598E" w:rsidP="0040123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232">
        <w:rPr>
          <w:rFonts w:ascii="Times New Roman" w:hAnsi="Times New Roman" w:cs="Times New Roman"/>
          <w:sz w:val="28"/>
          <w:szCs w:val="28"/>
        </w:rPr>
        <w:t xml:space="preserve">Клиническая психофармакогенентика https://psychiatr.ru/download/4160?view=1&amp;name=%D0%9A%D0%BB%D0%B8%D0%BD%D0%B8%D1%87%D0%B5%D1%81%D0%BA%D0%B0%D1%8F+%D0%BF%D1%81%D0%B8%D1%85%D0%BE%D1%84%D0%B0%D1%80%D0%BC%D0%B0%D0%BA%D0%BE%D0%B3%D0%B5%D0%BD%D0%B5%D1%82%D0%B8%D0%BA%D0%B0+%D1%81%D0%B0%D0%B9%D1%82.pdf </w:t>
      </w:r>
    </w:p>
    <w:p w:rsidR="00401232" w:rsidRPr="00401232" w:rsidRDefault="00401232" w:rsidP="00401232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98E" w:rsidRPr="00401232" w:rsidRDefault="00C6598E" w:rsidP="0040123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232">
        <w:rPr>
          <w:rFonts w:ascii="Times New Roman" w:hAnsi="Times New Roman" w:cs="Times New Roman"/>
          <w:sz w:val="28"/>
          <w:szCs w:val="28"/>
        </w:rPr>
        <w:t>Перспективы использования полиморфизма C3435T гена P-гликопротеина ABCB1 в персонализированной медицине https://www.vedomostincesmp.ru/jour/article/view/143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232">
        <w:rPr>
          <w:rFonts w:ascii="Times New Roman" w:hAnsi="Times New Roman" w:cs="Times New Roman"/>
          <w:sz w:val="28"/>
          <w:szCs w:val="28"/>
        </w:rPr>
        <w:lastRenderedPageBreak/>
        <w:t xml:space="preserve">Фармакогенетика основных представителей транспортеров органических катионов    Евтеев В.А.Казаков Р.Е.Муслимова О.А.Демченкова Е.Ю.  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Лильин Е. Т.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Введение в современную фармакогенетику. — Москва: Медицина, 1984. — 160 с.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Середенин С. Б.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Лекции по фармакогенетике. — Москва: МИА, 2004. — 303 с.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Скакун Н. П.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Клиническая фармакогенетика. — Киев: Здоровье, 1981. — 200 с.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Скакун Н. П.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Основы фармакогенетики. — Киев: Здоровье, 1976. — 259 с.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Соради И.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Основы и педиатрические аспекты фармакогенетики. — Будапешт: Издательство Академии наук Венгрии, 1984. — 248 с.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2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Сычев Д. А., Раменская Г. В., Игнатьев И. В., Кукес В. Г.</w:t>
      </w:r>
      <w:r w:rsidRPr="004012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Клиническая фармакогенетика: Учебное пособие/ Под ред. академика РАМН В. Г. Кукеса и академика РАМН Н. П. Бочкова. — Москва: ГЭОТАР-Медиа, 2007. — 248 с.</w:t>
      </w:r>
    </w:p>
    <w:p w:rsidR="00654456" w:rsidRPr="00401232" w:rsidRDefault="00654456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32">
        <w:rPr>
          <w:rFonts w:ascii="Times New Roman" w:hAnsi="Times New Roman" w:cs="Times New Roman"/>
          <w:sz w:val="28"/>
          <w:szCs w:val="28"/>
        </w:rPr>
        <w:t>Кукес В. Г., Сычев Д. А. Клиническая фармакогенетика: перспективный инструмент персонализированной медицины // Ремедиум. 2008. №3. URL: https://cyberleninka.ru/article/n/klinicheskaya-farmakogenetika-perspektivnyy-instrument-personalizirovannoy-meditsiny (дата обращения: 19.03.2020).</w:t>
      </w:r>
    </w:p>
    <w:p w:rsidR="00743D15" w:rsidRPr="00401232" w:rsidRDefault="00401232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43D15" w:rsidRPr="004012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http://proceedings.spiiras.nw.ru/ojs/index.php/sp/article/view/3305</w:t>
        </w:r>
      </w:hyperlink>
    </w:p>
    <w:p w:rsidR="00743D15" w:rsidRPr="00401232" w:rsidRDefault="00743D15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Style w:val="nowrap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Barsh G. S.</w:t>
      </w:r>
      <w:r w:rsidRPr="0040123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, </w:t>
      </w:r>
      <w:r w:rsidRPr="00401232">
        <w:rPr>
          <w:rStyle w:val="nowrap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Copenhaver G. P.</w:t>
      </w:r>
      <w:r w:rsidRPr="0040123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, </w:t>
      </w:r>
      <w:r w:rsidRPr="00401232">
        <w:rPr>
          <w:rStyle w:val="nowrap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Gibson G.</w:t>
      </w:r>
      <w:r w:rsidRPr="0040123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, </w:t>
      </w:r>
      <w:r w:rsidRPr="00401232">
        <w:rPr>
          <w:rStyle w:val="nowrap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Williams S. M.</w:t>
      </w:r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hyperlink r:id="rId8" w:history="1">
        <w:r w:rsidRPr="00401232">
          <w:rPr>
            <w:rStyle w:val="aa"/>
            <w:rFonts w:ascii="Times New Roman" w:hAnsi="Times New Roman" w:cs="Times New Roman"/>
            <w:color w:val="663366"/>
            <w:sz w:val="28"/>
            <w:szCs w:val="28"/>
            <w:lang w:val="en-US"/>
          </w:rPr>
          <w:t>Guidelines for genome-wide association studies.</w:t>
        </w:r>
      </w:hyperlink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401232">
        <w:rPr>
          <w:rStyle w:val="ref-info"/>
          <w:rFonts w:ascii="Times New Roman" w:hAnsi="Times New Roman" w:cs="Times New Roman"/>
          <w:color w:val="72777D"/>
          <w:sz w:val="28"/>
          <w:szCs w:val="28"/>
          <w:shd w:val="clear" w:color="auto" w:fill="FFFFFF"/>
          <w:lang w:val="en-US"/>
        </w:rPr>
        <w:t>(</w:t>
      </w:r>
      <w:r w:rsidRPr="00401232">
        <w:rPr>
          <w:rStyle w:val="ref-info"/>
          <w:rFonts w:ascii="Times New Roman" w:hAnsi="Times New Roman" w:cs="Times New Roman"/>
          <w:color w:val="72777D"/>
          <w:sz w:val="28"/>
          <w:szCs w:val="28"/>
          <w:shd w:val="clear" w:color="auto" w:fill="FFFFFF"/>
        </w:rPr>
        <w:t>англ</w:t>
      </w:r>
      <w:r w:rsidRPr="00401232">
        <w:rPr>
          <w:rStyle w:val="ref-info"/>
          <w:rFonts w:ascii="Times New Roman" w:hAnsi="Times New Roman" w:cs="Times New Roman"/>
          <w:color w:val="72777D"/>
          <w:sz w:val="28"/>
          <w:szCs w:val="28"/>
          <w:shd w:val="clear" w:color="auto" w:fill="FFFFFF"/>
          <w:lang w:val="en-US"/>
        </w:rPr>
        <w:t>.)</w:t>
      </w:r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// PLoS Genetics. — 2012. — July (</w:t>
      </w:r>
      <w:r w:rsidRPr="00401232">
        <w:rPr>
          <w:rStyle w:val="nowrap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vol. 8</w:t>
      </w:r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401232">
        <w:rPr>
          <w:rStyle w:val="nowrap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no. 7</w:t>
      </w:r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). — </w:t>
      </w:r>
      <w:r w:rsidRPr="00401232">
        <w:rPr>
          <w:rStyle w:val="nowrap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P. e1002812—1002812</w:t>
      </w:r>
      <w:r w:rsidRPr="00401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 — 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 xml:space="preserve">https://cyberleninka.ru/article/n/farmakogenetika-osnovnyh-predstaviteley-transporterov-organicheskih-kationov 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Hediger MA, Romero MF, Peng JB, Rolfs A, Takanaga H, Bruford EA (February 2004). "The ABCs of solute carriers: physiological, pathological and therapeutic implications of human membrane transport proteinsIntroduction". Pflügers Archiv. 447 (5): 465–8. doi:10.1007/s00424-003-1192-y. PMID 14624363.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Perland E, Fredriksson R (March 2017). "Classification Systems of Secondary Active Transporters". Trends in Pharmacological Sciences. 38 (3): 305–315. doi:10.1016/j.tips.2016.11.008. PMID 27939446.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Höglund PJ, Nordström KJ, Schiöth HB, Fredriksson R (April 2011). "The solute carrier families have a remarkably long evolutionary history with the majority of the human families present before divergence of Bilaterian species". Molecular Biology and Evolution. 28 (4): 1531–41. doi:10.1093/molbev/msq350. PMC 3058773. PMID 21186191.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"SLCtables". slc.bioparadigms.org. Retrieved 2018-03-07.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Kanai Y, Hediger MA (February 2004). "The glutamate/neutral amino acid transporter family SLC1: molecular, physiological and pharmacological aspects". Pflügers Archiv. 447 (5): 469–79. doi:10.1007/s00424-003-1146-4. PMID 14530974.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Uldry M, Thorens B (February 2004). "The SLC2 family of facilitated hexose and polyol transporters" (PDF). Pflügers Archiv. 447 (5): 480–9. doi:10.1007/s00424-003-1085-0. PMID 12750891.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Palacín M, Kanai Y (February 2004). "The ancillary proteins of HATs: SLC3 family of amino acid transporters". Pflügers Archiv. 447 (5): 490–4. doi:10.1007/s00424-003-1062-7. PMID 14770309.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Romero MF, Fulton CM, Boron WF (February 2004). "The SLC4 family of HCO 3 - transporters". Pflügers Archiv. 447 (5): 495–509. doi:10.1007/s00424-003-1180-2. PMID 14722772.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Wright EM, Turk E (February 2004). "The sodium/glucose cotransport family SLC5". Pflügers Archiv. 447 (5): 510–8. doi:10.1007/s00424-003-1063-6. PMID 12748858.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Chen NH, Reith ME, Quick MW (February 2004). "Synaptic uptake and beyond: the sodium- and chloride-dependent neurotransmitter transporter family SLC6". Pflügers Archiv. 447 (5): 519–31. doi:10.1007/s00424-003-1064-5. PMID 12719981.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Hagenbuch B, Dawson P (February 2004). "The sodium bile salt cotransport family SLC10" (PDF). Pflügers Archiv. 447 (5): 566–70. doi:10.1007/s00424-003-1130-z. PMID 12851823.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Mackenzie B, Hediger MA (February 2004). "SLC11 family of H+-coupled metal-ion transporters NRAMP1 and DMT1". Pflügers Archiv. 447 (5): 571–9. doi:10.1007/s00424-003-1141-9. PMID 14530973.</w:t>
      </w:r>
    </w:p>
    <w:p w:rsidR="00C6598E" w:rsidRPr="00401232" w:rsidRDefault="00C6598E" w:rsidP="00C6598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232">
        <w:rPr>
          <w:rFonts w:ascii="Times New Roman" w:hAnsi="Times New Roman" w:cs="Times New Roman"/>
          <w:sz w:val="28"/>
          <w:szCs w:val="28"/>
          <w:lang w:val="en-US"/>
        </w:rPr>
        <w:t>Hebert SC, Mount DB, Gamba G (February 2004). "Molecular physiology of cation-coupled Cl- cotransport: the SLC12 family". Pflügers Archiv. 447 (5): 580–93. doi:10.1007/s00424-003-1066-3. PMID 12739168.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Katsnelson A (August 2005). </w:t>
      </w:r>
      <w:hyperlink r:id="rId9" w:history="1">
        <w:r w:rsidRPr="00401232">
          <w:rPr>
            <w:rStyle w:val="aa"/>
            <w:rFonts w:ascii="Times New Roman" w:hAnsi="Times New Roman" w:cs="Times New Roman"/>
            <w:i/>
            <w:iCs/>
            <w:color w:val="663366"/>
            <w:sz w:val="28"/>
            <w:szCs w:val="28"/>
            <w:lang w:val="en-US"/>
          </w:rPr>
          <w:t>"A Drug to Call One's Own: Will medicine finally get personal?"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</w:rPr>
        <w:t>. Scientific American.</w:t>
      </w:r>
    </w:p>
    <w:p w:rsidR="00C6598E" w:rsidRPr="00401232" w:rsidRDefault="00C6598E" w:rsidP="00C659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Karczewski KJ, Daneshjou R, Altman RB (2012). </w:t>
      </w:r>
      <w:hyperlink r:id="rId10" w:history="1">
        <w:r w:rsidRPr="00401232">
          <w:rPr>
            <w:rStyle w:val="aa"/>
            <w:rFonts w:ascii="Times New Roman" w:hAnsi="Times New Roman" w:cs="Times New Roman"/>
            <w:i/>
            <w:iCs/>
            <w:color w:val="663366"/>
            <w:sz w:val="28"/>
            <w:szCs w:val="28"/>
            <w:lang w:val="en-US"/>
          </w:rPr>
          <w:t>"Chapter 7: Pharmacogenomics"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. PLoS Comput Biol. </w:t>
      </w:r>
      <w:r w:rsidRPr="00401232">
        <w:rPr>
          <w:rStyle w:val="HTML"/>
          <w:rFonts w:ascii="Times New Roman" w:hAnsi="Times New Roman" w:cs="Times New Roman"/>
          <w:b/>
          <w:bCs/>
          <w:color w:val="222222"/>
          <w:sz w:val="28"/>
          <w:szCs w:val="28"/>
          <w:lang w:val="en-US"/>
        </w:rPr>
        <w:t>8</w:t>
      </w:r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 (12): e1002817. </w:t>
      </w:r>
      <w:hyperlink r:id="rId11" w:tooltip="Digital object identifier" w:history="1">
        <w:r w:rsidRPr="00401232">
          <w:rPr>
            <w:rStyle w:val="aa"/>
            <w:rFonts w:ascii="Times New Roman" w:hAnsi="Times New Roman" w:cs="Times New Roman"/>
            <w:i/>
            <w:iCs/>
            <w:color w:val="0B0080"/>
            <w:sz w:val="28"/>
            <w:szCs w:val="28"/>
            <w:lang w:val="en-US"/>
          </w:rPr>
          <w:t>doi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hyperlink r:id="rId12" w:history="1">
        <w:r w:rsidRPr="00401232">
          <w:rPr>
            <w:rStyle w:val="aa"/>
            <w:rFonts w:ascii="Times New Roman" w:hAnsi="Times New Roman" w:cs="Times New Roman"/>
            <w:i/>
            <w:iCs/>
            <w:color w:val="663366"/>
            <w:sz w:val="28"/>
            <w:szCs w:val="28"/>
            <w:lang w:val="en-US"/>
          </w:rPr>
          <w:t>10.1371/journal.pcbi.1002817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. </w:t>
      </w:r>
      <w:hyperlink r:id="rId13" w:tooltip="PubMed Central" w:history="1">
        <w:r w:rsidRPr="00401232">
          <w:rPr>
            <w:rStyle w:val="aa"/>
            <w:rFonts w:ascii="Times New Roman" w:hAnsi="Times New Roman" w:cs="Times New Roman"/>
            <w:i/>
            <w:iCs/>
            <w:color w:val="0B0080"/>
            <w:sz w:val="28"/>
            <w:szCs w:val="28"/>
            <w:lang w:val="en-US"/>
          </w:rPr>
          <w:t>PMC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hyperlink r:id="rId14" w:history="1">
        <w:r w:rsidRPr="00401232">
          <w:rPr>
            <w:rStyle w:val="aa"/>
            <w:rFonts w:ascii="Times New Roman" w:hAnsi="Times New Roman" w:cs="Times New Roman"/>
            <w:i/>
            <w:iCs/>
            <w:color w:val="663366"/>
            <w:sz w:val="28"/>
            <w:szCs w:val="28"/>
            <w:lang w:val="en-US"/>
          </w:rPr>
          <w:t>3531317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  <w:lang w:val="en-US"/>
        </w:rPr>
        <w:t>. </w:t>
      </w:r>
      <w:hyperlink r:id="rId15" w:tooltip="PubMed Identifier" w:history="1">
        <w:r w:rsidRPr="00401232">
          <w:rPr>
            <w:rStyle w:val="aa"/>
            <w:rFonts w:ascii="Times New Roman" w:hAnsi="Times New Roman" w:cs="Times New Roman"/>
            <w:i/>
            <w:iCs/>
            <w:color w:val="0B0080"/>
            <w:sz w:val="28"/>
            <w:szCs w:val="28"/>
          </w:rPr>
          <w:t>PMID</w:t>
        </w:r>
      </w:hyperlink>
      <w:r w:rsidRPr="00401232">
        <w:rPr>
          <w:rStyle w:val="HTML"/>
          <w:rFonts w:ascii="Times New Roman" w:hAnsi="Times New Roman" w:cs="Times New Roman"/>
          <w:color w:val="222222"/>
          <w:sz w:val="28"/>
          <w:szCs w:val="28"/>
        </w:rPr>
        <w:t> </w:t>
      </w:r>
      <w:hyperlink r:id="rId16" w:history="1">
        <w:r w:rsidRPr="00401232">
          <w:rPr>
            <w:rStyle w:val="aa"/>
            <w:rFonts w:ascii="Times New Roman" w:hAnsi="Times New Roman" w:cs="Times New Roman"/>
            <w:i/>
            <w:iCs/>
            <w:color w:val="663366"/>
            <w:sz w:val="28"/>
            <w:szCs w:val="28"/>
          </w:rPr>
          <w:t>233004</w:t>
        </w:r>
      </w:hyperlink>
    </w:p>
    <w:p w:rsidR="00C6598E" w:rsidRPr="00401232" w:rsidRDefault="00C6598E" w:rsidP="00C6598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6598E" w:rsidRPr="00401232" w:rsidRDefault="00C6598E" w:rsidP="00C659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C6598E" w:rsidRPr="00401232" w:rsidRDefault="00C6598E" w:rsidP="00C659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75E2" w:rsidRPr="00401232" w:rsidRDefault="003775E2">
      <w:pPr>
        <w:rPr>
          <w:rFonts w:ascii="Times New Roman" w:hAnsi="Times New Roman" w:cs="Times New Roman"/>
          <w:sz w:val="28"/>
          <w:szCs w:val="28"/>
        </w:rPr>
      </w:pPr>
    </w:p>
    <w:p w:rsidR="00C6598E" w:rsidRPr="00401232" w:rsidRDefault="00C6598E">
      <w:pPr>
        <w:rPr>
          <w:rFonts w:ascii="Times New Roman" w:hAnsi="Times New Roman" w:cs="Times New Roman"/>
          <w:sz w:val="28"/>
          <w:szCs w:val="28"/>
        </w:rPr>
      </w:pPr>
    </w:p>
    <w:p w:rsidR="00D03C32" w:rsidRPr="00401232" w:rsidRDefault="00007A3B">
      <w:pPr>
        <w:rPr>
          <w:rFonts w:ascii="Times New Roman" w:hAnsi="Times New Roman" w:cs="Times New Roman"/>
          <w:sz w:val="28"/>
          <w:szCs w:val="28"/>
        </w:rPr>
      </w:pPr>
      <w:r w:rsidRPr="00401232">
        <w:rPr>
          <w:rFonts w:ascii="Times New Roman" w:hAnsi="Times New Roman" w:cs="Times New Roman"/>
          <w:sz w:val="28"/>
          <w:szCs w:val="28"/>
        </w:rPr>
        <w:t>Зав. уч. частью                                 _____________________ Е.А. Смолярчук</w:t>
      </w:r>
    </w:p>
    <w:sectPr w:rsidR="00D03C32" w:rsidRPr="00401232" w:rsidSect="0015591A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BA" w:rsidRDefault="002235BA" w:rsidP="00EA0A49">
      <w:pPr>
        <w:spacing w:after="0" w:line="240" w:lineRule="auto"/>
      </w:pPr>
      <w:r>
        <w:separator/>
      </w:r>
    </w:p>
  </w:endnote>
  <w:endnote w:type="continuationSeparator" w:id="0">
    <w:p w:rsidR="002235BA" w:rsidRDefault="002235BA" w:rsidP="00EA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A8" w:rsidRDefault="006C1DA8" w:rsidP="006C1DA8">
    <w:pPr>
      <w:pStyle w:val="a5"/>
      <w:jc w:val="right"/>
    </w:pPr>
    <w:r>
      <w:t>-----------------------------------------------------------------------------------------------------------------------------------------</w:t>
    </w:r>
  </w:p>
  <w:p w:rsidR="006C1DA8" w:rsidRDefault="006C1DA8" w:rsidP="006C1DA8">
    <w:pPr>
      <w:pStyle w:val="a5"/>
      <w:jc w:val="right"/>
    </w:pPr>
    <w:r>
      <w:t xml:space="preserve">Страница </w:t>
    </w:r>
    <w:r w:rsidR="001559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591A">
      <w:rPr>
        <w:b/>
        <w:bCs/>
        <w:sz w:val="24"/>
        <w:szCs w:val="24"/>
      </w:rPr>
      <w:fldChar w:fldCharType="separate"/>
    </w:r>
    <w:r w:rsidR="00401232">
      <w:rPr>
        <w:b/>
        <w:bCs/>
        <w:noProof/>
      </w:rPr>
      <w:t>5</w:t>
    </w:r>
    <w:r w:rsidR="0015591A">
      <w:rPr>
        <w:b/>
        <w:bCs/>
        <w:sz w:val="24"/>
        <w:szCs w:val="24"/>
      </w:rPr>
      <w:fldChar w:fldCharType="end"/>
    </w:r>
    <w:r>
      <w:t xml:space="preserve"> из </w:t>
    </w:r>
    <w:r w:rsidR="001559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591A">
      <w:rPr>
        <w:b/>
        <w:bCs/>
        <w:sz w:val="24"/>
        <w:szCs w:val="24"/>
      </w:rPr>
      <w:fldChar w:fldCharType="separate"/>
    </w:r>
    <w:r w:rsidR="00401232">
      <w:rPr>
        <w:b/>
        <w:bCs/>
        <w:noProof/>
      </w:rPr>
      <w:t>5</w:t>
    </w:r>
    <w:r w:rsidR="0015591A">
      <w:rPr>
        <w:b/>
        <w:bCs/>
        <w:sz w:val="24"/>
        <w:szCs w:val="24"/>
      </w:rPr>
      <w:fldChar w:fldCharType="end"/>
    </w:r>
  </w:p>
  <w:p w:rsidR="006C1DA8" w:rsidRPr="006C1DA8" w:rsidRDefault="006C1DA8" w:rsidP="006C1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BA" w:rsidRDefault="002235BA" w:rsidP="00EA0A49">
      <w:pPr>
        <w:spacing w:after="0" w:line="240" w:lineRule="auto"/>
      </w:pPr>
      <w:r>
        <w:separator/>
      </w:r>
    </w:p>
  </w:footnote>
  <w:footnote w:type="continuationSeparator" w:id="0">
    <w:p w:rsidR="002235BA" w:rsidRDefault="002235BA" w:rsidP="00EA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459" w:type="dxa"/>
      <w:tblLook w:val="04A0" w:firstRow="1" w:lastRow="0" w:firstColumn="1" w:lastColumn="0" w:noHBand="0" w:noVBand="1"/>
    </w:tblPr>
    <w:tblGrid>
      <w:gridCol w:w="8080"/>
      <w:gridCol w:w="2410"/>
    </w:tblGrid>
    <w:tr w:rsidR="00334258" w:rsidTr="00681AED">
      <w:tc>
        <w:tcPr>
          <w:tcW w:w="8080" w:type="dxa"/>
        </w:tcPr>
        <w:p w:rsidR="00334258" w:rsidRDefault="00334258" w:rsidP="00334258">
          <w:pPr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>Тематический план занятий</w:t>
          </w: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</w:t>
          </w: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</w:t>
          </w:r>
        </w:p>
        <w:p w:rsidR="00334258" w:rsidRDefault="00334258" w:rsidP="00334258">
          <w:pPr>
            <w:pStyle w:val="a3"/>
            <w:tabs>
              <w:tab w:val="clear" w:pos="4677"/>
              <w:tab w:val="clear" w:pos="9355"/>
              <w:tab w:val="left" w:pos="1320"/>
            </w:tabs>
          </w:pP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по </w:t>
          </w: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дисциплине «Клиническая фармакогенетика»</w:t>
          </w: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</w:t>
          </w:r>
        </w:p>
      </w:tc>
      <w:tc>
        <w:tcPr>
          <w:tcW w:w="2410" w:type="dxa"/>
        </w:tcPr>
        <w:p w:rsidR="00334258" w:rsidRDefault="00334258" w:rsidP="006C1DA8">
          <w:pPr>
            <w:pStyle w:val="a3"/>
            <w:tabs>
              <w:tab w:val="clear" w:pos="4677"/>
              <w:tab w:val="clear" w:pos="9355"/>
              <w:tab w:val="left" w:pos="1320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847725" cy="65278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C1DA8" w:rsidRDefault="006C1DA8" w:rsidP="006C1DA8">
    <w:pPr>
      <w:pStyle w:val="a3"/>
      <w:tabs>
        <w:tab w:val="clear" w:pos="4677"/>
        <w:tab w:val="clear" w:pos="9355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35E"/>
    <w:multiLevelType w:val="multilevel"/>
    <w:tmpl w:val="6C02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50139"/>
    <w:multiLevelType w:val="multilevel"/>
    <w:tmpl w:val="0EE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3227C"/>
    <w:multiLevelType w:val="hybridMultilevel"/>
    <w:tmpl w:val="6D8E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49"/>
    <w:rsid w:val="00007A3B"/>
    <w:rsid w:val="0011363B"/>
    <w:rsid w:val="0015591A"/>
    <w:rsid w:val="001C22BB"/>
    <w:rsid w:val="002235BA"/>
    <w:rsid w:val="002F48A2"/>
    <w:rsid w:val="002F7FC7"/>
    <w:rsid w:val="00334258"/>
    <w:rsid w:val="003775E2"/>
    <w:rsid w:val="00401232"/>
    <w:rsid w:val="004C053A"/>
    <w:rsid w:val="00654456"/>
    <w:rsid w:val="00681AED"/>
    <w:rsid w:val="006C1DA8"/>
    <w:rsid w:val="00743D15"/>
    <w:rsid w:val="00A83D71"/>
    <w:rsid w:val="00B947C5"/>
    <w:rsid w:val="00C6598E"/>
    <w:rsid w:val="00CF1D5C"/>
    <w:rsid w:val="00D03C32"/>
    <w:rsid w:val="00D47188"/>
    <w:rsid w:val="00EA0A49"/>
    <w:rsid w:val="00F35C40"/>
    <w:rsid w:val="00F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C16F159"/>
  <w15:docId w15:val="{A819AFCC-5A7C-4706-9CB3-FF9F17C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A49"/>
  </w:style>
  <w:style w:type="paragraph" w:styleId="a5">
    <w:name w:val="footer"/>
    <w:basedOn w:val="a"/>
    <w:link w:val="a6"/>
    <w:uiPriority w:val="99"/>
    <w:unhideWhenUsed/>
    <w:rsid w:val="00EA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A49"/>
  </w:style>
  <w:style w:type="table" w:styleId="a7">
    <w:name w:val="Table Grid"/>
    <w:basedOn w:val="a1"/>
    <w:uiPriority w:val="39"/>
    <w:rsid w:val="00EA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D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598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6598E"/>
    <w:pPr>
      <w:ind w:left="720"/>
      <w:contextualSpacing/>
    </w:pPr>
  </w:style>
  <w:style w:type="character" w:customStyle="1" w:styleId="citation">
    <w:name w:val="citation"/>
    <w:basedOn w:val="a0"/>
    <w:rsid w:val="00C6598E"/>
  </w:style>
  <w:style w:type="character" w:styleId="HTML">
    <w:name w:val="HTML Cite"/>
    <w:basedOn w:val="a0"/>
    <w:uiPriority w:val="99"/>
    <w:semiHidden/>
    <w:unhideWhenUsed/>
    <w:rsid w:val="00C6598E"/>
    <w:rPr>
      <w:i/>
      <w:iCs/>
    </w:rPr>
  </w:style>
  <w:style w:type="character" w:customStyle="1" w:styleId="cs1-lock-free">
    <w:name w:val="cs1-lock-free"/>
    <w:basedOn w:val="a0"/>
    <w:rsid w:val="00C6598E"/>
  </w:style>
  <w:style w:type="character" w:customStyle="1" w:styleId="nowrap">
    <w:name w:val="nowrap"/>
    <w:basedOn w:val="a0"/>
    <w:rsid w:val="00743D15"/>
  </w:style>
  <w:style w:type="character" w:customStyle="1" w:styleId="ref-info">
    <w:name w:val="ref-info"/>
    <w:basedOn w:val="a0"/>
    <w:rsid w:val="007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2792080" TargetMode="External"/><Relationship Id="rId13" Type="http://schemas.openxmlformats.org/officeDocument/2006/relationships/hyperlink" Target="https://en.wikipedia.org/wiki/PubMed_Centr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ceedings.spiiras.nw.ru/ojs/index.php/sp/article/view/3305" TargetMode="External"/><Relationship Id="rId12" Type="http://schemas.openxmlformats.org/officeDocument/2006/relationships/hyperlink" Target="https://doi.org/10.1371%2Fjournal.pcbi.100281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33004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Digital_object_identifi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PubMed_Identifier" TargetMode="External"/><Relationship Id="rId10" Type="http://schemas.openxmlformats.org/officeDocument/2006/relationships/hyperlink" Target="https://www.ncbi.nlm.nih.gov/pmc/articles/PMC35313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tificamerican.com/article.cfm?id=a-drug-to-call-ones-own" TargetMode="External"/><Relationship Id="rId14" Type="http://schemas.openxmlformats.org/officeDocument/2006/relationships/hyperlink" Target="https://www.ncbi.nlm.nih.gov/pmc/articles/PMC35313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Георгий Станиславович</dc:creator>
  <cp:lastModifiedBy>Lena</cp:lastModifiedBy>
  <cp:revision>2</cp:revision>
  <dcterms:created xsi:type="dcterms:W3CDTF">2020-03-21T19:51:00Z</dcterms:created>
  <dcterms:modified xsi:type="dcterms:W3CDTF">2020-03-21T19:51:00Z</dcterms:modified>
</cp:coreProperties>
</file>