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0AF57A49" w14:textId="52E74FD0" w:rsidR="00C6461A" w:rsidRPr="00E36110" w:rsidRDefault="00C6461A">
      <w:pPr>
        <w:spacing w:after="0"/>
        <w:jc w:val="left"/>
        <w:rPr>
          <w:lang w:val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1E3C4E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C55CAC" w:rsidRDefault="009932FE" w:rsidP="00DE5B29">
            <w:pPr>
              <w:spacing w:after="0"/>
              <w:rPr>
                <w:b/>
                <w:color w:val="000000"/>
              </w:rPr>
            </w:pPr>
            <w:r w:rsidRPr="001E3C4E">
              <w:br w:type="page"/>
            </w:r>
            <w:r w:rsidR="00B60CF3" w:rsidRPr="00C55CAC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1E3C4E" w:rsidRDefault="00B60CF3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1E3C4E" w:rsidRDefault="00B60CF3" w:rsidP="00DE5B29">
            <w:pPr>
              <w:spacing w:after="0"/>
              <w:jc w:val="left"/>
              <w:rPr>
                <w:color w:val="000000"/>
              </w:rPr>
            </w:pPr>
          </w:p>
        </w:tc>
      </w:tr>
      <w:tr w:rsidR="004F2BA8" w:rsidRPr="001E3C4E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4F2BA8" w:rsidRPr="001E3C4E" w:rsidRDefault="004F2BA8" w:rsidP="004F2BA8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39AAB209" w:rsidR="004F2BA8" w:rsidRPr="001E3C4E" w:rsidRDefault="004F2BA8" w:rsidP="004F2BA8">
            <w:pPr>
              <w:spacing w:after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Sechenov</w:t>
            </w:r>
            <w:proofErr w:type="spellEnd"/>
            <w:r>
              <w:rPr>
                <w:color w:val="000000"/>
                <w:lang w:val="en-US"/>
              </w:rPr>
              <w:t xml:space="preserve"> University</w:t>
            </w:r>
          </w:p>
        </w:tc>
      </w:tr>
      <w:tr w:rsidR="004F2BA8" w:rsidRPr="001E3C4E" w14:paraId="7FFA70E2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4F2BA8" w:rsidRPr="001E3C4E" w:rsidRDefault="004F2BA8" w:rsidP="004F2BA8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647CD936" w:rsidR="004F2BA8" w:rsidRPr="001E3C4E" w:rsidRDefault="004F2BA8" w:rsidP="004F2BA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В2</w:t>
            </w:r>
          </w:p>
        </w:tc>
      </w:tr>
      <w:tr w:rsidR="004F2BA8" w:rsidRPr="00E36110" w14:paraId="3080E3C1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4F2BA8" w:rsidRPr="001E3C4E" w:rsidRDefault="004F2BA8" w:rsidP="004F2BA8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24A5D392" w14:textId="77777777" w:rsidR="004F2BA8" w:rsidRPr="007C4F51" w:rsidRDefault="004F2BA8" w:rsidP="004F2BA8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7C4F51">
              <w:rPr>
                <w:i/>
                <w:color w:val="000000"/>
                <w:lang w:val="en-US"/>
              </w:rPr>
              <w:t>32.06.01 Medical and preventative care (</w:t>
            </w:r>
            <w:r w:rsidRPr="001E3C4E">
              <w:rPr>
                <w:i/>
                <w:color w:val="000000"/>
                <w:lang w:val="en-US"/>
              </w:rPr>
              <w:t>educational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program</w:t>
            </w:r>
            <w:r w:rsidRPr="007C4F51">
              <w:rPr>
                <w:i/>
                <w:color w:val="000000"/>
                <w:lang w:val="en-US"/>
              </w:rPr>
              <w:t>)</w:t>
            </w:r>
          </w:p>
          <w:p w14:paraId="627EAB5C" w14:textId="08B2518C" w:rsidR="004F2BA8" w:rsidRPr="001E3C4E" w:rsidRDefault="004F2BA8" w:rsidP="004F2BA8">
            <w:pPr>
              <w:spacing w:after="0"/>
              <w:jc w:val="left"/>
              <w:rPr>
                <w:color w:val="000000"/>
                <w:lang w:val="en-US"/>
              </w:rPr>
            </w:pPr>
            <w:r w:rsidRPr="007C4F51">
              <w:rPr>
                <w:i/>
                <w:color w:val="000000"/>
                <w:lang w:val="en-US"/>
              </w:rPr>
              <w:t>3.2.3. Public health, organ</w:t>
            </w:r>
            <w:r>
              <w:rPr>
                <w:i/>
                <w:color w:val="000000"/>
                <w:lang w:val="en-US"/>
              </w:rPr>
              <w:t>ization and sociology of health</w:t>
            </w:r>
            <w:r w:rsidRPr="007C4F51">
              <w:rPr>
                <w:i/>
                <w:color w:val="000000"/>
                <w:lang w:val="en-US"/>
              </w:rPr>
              <w:t>care, medical and social expertise (</w:t>
            </w:r>
            <w:r w:rsidRPr="001E3C4E">
              <w:rPr>
                <w:i/>
                <w:color w:val="000000"/>
                <w:lang w:val="en-US"/>
              </w:rPr>
              <w:t>field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of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the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educational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program</w:t>
            </w:r>
            <w:r w:rsidRPr="007C4F51">
              <w:rPr>
                <w:i/>
                <w:color w:val="000000"/>
                <w:lang w:val="en-US"/>
              </w:rPr>
              <w:t>)</w:t>
            </w:r>
          </w:p>
        </w:tc>
      </w:tr>
      <w:tr w:rsidR="00334CF9" w:rsidRPr="009667C5" w14:paraId="63EE698B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76B425B8" w14:textId="77777777" w:rsidR="00113D22" w:rsidRDefault="00113D22" w:rsidP="00113D22">
            <w:pPr>
              <w:spacing w:after="0"/>
              <w:jc w:val="center"/>
              <w:rPr>
                <w:color w:val="000000"/>
                <w:lang w:val="en-US"/>
              </w:rPr>
            </w:pPr>
          </w:p>
          <w:p w14:paraId="46486F9B" w14:textId="2EC5D61F" w:rsidR="00334CF9" w:rsidRPr="001E3C4E" w:rsidRDefault="00113D22" w:rsidP="00113D22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334CF9" w:rsidRPr="009667C5" w14:paraId="4046F5D5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2DD1B356" w14:textId="77777777" w:rsidR="00537E6C" w:rsidRPr="00537E6C" w:rsidRDefault="00537E6C" w:rsidP="00537E6C">
            <w:pPr>
              <w:spacing w:after="0"/>
              <w:rPr>
                <w:lang w:val="en-US"/>
              </w:rPr>
            </w:pPr>
            <w:r w:rsidRPr="00537E6C">
              <w:rPr>
                <w:lang w:val="en-US"/>
              </w:rPr>
              <w:t>1. Prevention of the most important non-communicable diseases.</w:t>
            </w:r>
          </w:p>
          <w:p w14:paraId="60D9B82A" w14:textId="77777777" w:rsidR="00537E6C" w:rsidRPr="00537E6C" w:rsidRDefault="00537E6C" w:rsidP="00537E6C">
            <w:pPr>
              <w:spacing w:after="0"/>
              <w:rPr>
                <w:lang w:val="en-US"/>
              </w:rPr>
            </w:pPr>
            <w:r w:rsidRPr="00537E6C">
              <w:rPr>
                <w:lang w:val="en-US"/>
              </w:rPr>
              <w:t>2. Organization of palliative care for the population.</w:t>
            </w:r>
          </w:p>
          <w:p w14:paraId="1B7B1FDE" w14:textId="77777777" w:rsidR="00537E6C" w:rsidRPr="00537E6C" w:rsidRDefault="00537E6C" w:rsidP="00537E6C">
            <w:pPr>
              <w:spacing w:after="0"/>
              <w:rPr>
                <w:lang w:val="en-US"/>
              </w:rPr>
            </w:pPr>
            <w:r w:rsidRPr="00537E6C">
              <w:rPr>
                <w:lang w:val="en-US"/>
              </w:rPr>
              <w:t>3. Population aging as a medical and social problem.</w:t>
            </w:r>
          </w:p>
          <w:p w14:paraId="5D823DBF" w14:textId="77777777" w:rsidR="00537E6C" w:rsidRPr="00537E6C" w:rsidRDefault="00537E6C" w:rsidP="00537E6C">
            <w:pPr>
              <w:spacing w:after="0"/>
              <w:rPr>
                <w:lang w:val="en-US"/>
              </w:rPr>
            </w:pPr>
            <w:r w:rsidRPr="00537E6C">
              <w:rPr>
                <w:lang w:val="en-US"/>
              </w:rPr>
              <w:t>4. Quality of medical care.</w:t>
            </w:r>
          </w:p>
          <w:p w14:paraId="6887A7C5" w14:textId="77777777" w:rsidR="00537E6C" w:rsidRPr="00537E6C" w:rsidRDefault="00537E6C" w:rsidP="00537E6C">
            <w:pPr>
              <w:spacing w:after="0"/>
              <w:rPr>
                <w:lang w:val="en-US"/>
              </w:rPr>
            </w:pPr>
            <w:r w:rsidRPr="00537E6C">
              <w:rPr>
                <w:lang w:val="en-US"/>
              </w:rPr>
              <w:t>5. Risk management.</w:t>
            </w:r>
          </w:p>
          <w:p w14:paraId="373C132C" w14:textId="77777777" w:rsidR="00537E6C" w:rsidRPr="00537E6C" w:rsidRDefault="00537E6C" w:rsidP="00537E6C">
            <w:pPr>
              <w:spacing w:after="0"/>
              <w:rPr>
                <w:lang w:val="en-US"/>
              </w:rPr>
            </w:pPr>
            <w:r w:rsidRPr="00537E6C">
              <w:rPr>
                <w:lang w:val="en-US"/>
              </w:rPr>
              <w:t>6. Medical and social aspects of a healthy lifestyle.</w:t>
            </w:r>
          </w:p>
          <w:p w14:paraId="29028B57" w14:textId="77777777" w:rsidR="00C55CAC" w:rsidRDefault="00537E6C" w:rsidP="00537E6C">
            <w:pPr>
              <w:spacing w:after="0"/>
              <w:jc w:val="left"/>
            </w:pPr>
            <w:r>
              <w:t xml:space="preserve">7. Family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>.</w:t>
            </w:r>
          </w:p>
          <w:p w14:paraId="4A51D436" w14:textId="290B13C7" w:rsidR="00537E6C" w:rsidRPr="001E3C4E" w:rsidRDefault="00537E6C" w:rsidP="00537E6C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334CF9" w:rsidRPr="00E36110" w14:paraId="01917A5C" w14:textId="77777777" w:rsidTr="00DE5B2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080FB327" w:rsidR="00334CF9" w:rsidRPr="006213A0" w:rsidRDefault="00334CF9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Фо</w:t>
                                  </w:r>
                                  <w:proofErr w:type="spellEnd"/>
                                  <w:r w:rsidR="003F7905" w:rsidRPr="009667C5">
                                    <w:rPr>
                                      <w:rFonts w:eastAsia="Calibri"/>
                                      <w:noProof/>
                                      <w:sz w:val="28"/>
                                      <w:szCs w:val="22"/>
                                      <w:lang w:eastAsia="en-US"/>
                                    </w:rPr>
                                    <w:drawing>
                                      <wp:inline distT="0" distB="0" distL="0" distR="0" wp14:anchorId="5D589E42" wp14:editId="2BBC2192">
                                        <wp:extent cx="1266825" cy="1900944"/>
                                        <wp:effectExtent l="0" t="0" r="0" b="444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6603" cy="1915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" filled="f" strokecolor="black [3213]" strokeweight="2.25pt">
                      <v:textbox>
                        <w:txbxContent>
                          <w:p w14:paraId="060CC5B5" w14:textId="080FB327" w:rsidR="00334CF9" w:rsidRPr="006213A0" w:rsidRDefault="00334CF9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Фо</w:t>
                            </w:r>
                            <w:proofErr w:type="spellEnd"/>
                            <w:r w:rsidR="003F7905" w:rsidRPr="009667C5">
                              <w:rPr>
                                <w:rFonts w:eastAsia="Calibri"/>
                                <w:noProof/>
                                <w:sz w:val="28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 wp14:anchorId="5D589E42" wp14:editId="2BBC2192">
                                  <wp:extent cx="1266825" cy="1900944"/>
                                  <wp:effectExtent l="0" t="0" r="0" b="444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603" cy="1915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</w:rPr>
                              <w:t>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1E3C4E" w:rsidRDefault="00334CF9" w:rsidP="00DE5B29">
            <w:pPr>
              <w:rPr>
                <w:lang w:val="en-US"/>
              </w:rPr>
            </w:pPr>
          </w:p>
          <w:p w14:paraId="6340000C" w14:textId="58478D4C" w:rsidR="00334CF9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4C048210" w14:textId="36E1222D" w:rsidR="00066190" w:rsidRPr="00066190" w:rsidRDefault="00066190" w:rsidP="00DE5B29">
            <w:pPr>
              <w:rPr>
                <w:lang w:val="en-US"/>
              </w:rPr>
            </w:pPr>
            <w:r>
              <w:rPr>
                <w:lang w:val="en-US"/>
              </w:rPr>
              <w:t>Natalia V.</w:t>
            </w:r>
            <w:r w:rsidR="008321F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Ekkert</w:t>
            </w:r>
            <w:proofErr w:type="spellEnd"/>
          </w:p>
          <w:p w14:paraId="4C6140A2" w14:textId="4614CE72" w:rsidR="00334CF9" w:rsidRPr="00066190" w:rsidRDefault="00334CF9" w:rsidP="00066190">
            <w:pPr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Doctor</w:t>
            </w:r>
            <w:r w:rsidRPr="00066190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066190">
              <w:rPr>
                <w:lang w:val="en-US"/>
              </w:rPr>
              <w:t xml:space="preserve"> </w:t>
            </w:r>
            <w:r w:rsidR="00066190">
              <w:rPr>
                <w:lang w:val="en-US"/>
              </w:rPr>
              <w:t>Medical</w:t>
            </w:r>
            <w:r w:rsidR="00066190" w:rsidRPr="001E3C4E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="00066190">
              <w:rPr>
                <w:lang w:val="en-US"/>
              </w:rPr>
              <w:t xml:space="preserve"> </w:t>
            </w:r>
            <w:r w:rsidR="00066190" w:rsidRPr="007C4F51">
              <w:rPr>
                <w:lang w:val="en-US"/>
              </w:rPr>
              <w:t>(</w:t>
            </w:r>
            <w:proofErr w:type="spellStart"/>
            <w:r w:rsidR="00066190">
              <w:rPr>
                <w:lang w:val="en-US"/>
              </w:rPr>
              <w:t>Sechenov</w:t>
            </w:r>
            <w:proofErr w:type="spellEnd"/>
            <w:r w:rsidR="00066190">
              <w:rPr>
                <w:lang w:val="en-US"/>
              </w:rPr>
              <w:t xml:space="preserve"> Moscow Medical Academy</w:t>
            </w:r>
            <w:r w:rsidR="00066190" w:rsidRPr="007C4F51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1B26D0AD" w:rsidR="00334CF9" w:rsidRPr="00066190" w:rsidRDefault="00334CF9" w:rsidP="00DE5B29">
            <w:pPr>
              <w:spacing w:after="0"/>
              <w:jc w:val="center"/>
              <w:rPr>
                <w:i/>
                <w:color w:val="000000"/>
                <w:lang w:val="en-US"/>
              </w:rPr>
            </w:pPr>
          </w:p>
        </w:tc>
      </w:tr>
      <w:tr w:rsidR="00334CF9" w:rsidRPr="00E36110" w14:paraId="2F5D5957" w14:textId="77777777" w:rsidTr="00DE5B2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066190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9932FE" w:rsidRPr="00070924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070924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070924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070924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4D57762C" w14:textId="6099F914" w:rsidR="00334CF9" w:rsidRPr="00537E6C" w:rsidRDefault="00070924" w:rsidP="00537E6C">
            <w:pPr>
              <w:spacing w:after="0"/>
              <w:rPr>
                <w:lang w:val="en-US"/>
              </w:rPr>
            </w:pPr>
            <w:r w:rsidRPr="00070924">
              <w:rPr>
                <w:lang w:val="en-US"/>
              </w:rPr>
              <w:t>Public, Environmental &amp; Occupational Health</w:t>
            </w:r>
          </w:p>
        </w:tc>
      </w:tr>
      <w:tr w:rsidR="00334CF9" w:rsidRPr="001E3C4E" w14:paraId="560D73E1" w14:textId="77777777" w:rsidTr="00DE5B2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537E6C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2CD88085" w14:textId="77777777" w:rsidR="009932FE" w:rsidRDefault="00334CF9" w:rsidP="003F7905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1E3C4E">
              <w:rPr>
                <w:color w:val="000000"/>
              </w:rPr>
              <w:t xml:space="preserve"> </w:t>
            </w:r>
          </w:p>
          <w:p w14:paraId="48BB5735" w14:textId="08C74B75" w:rsidR="00E01C8B" w:rsidRPr="00E01C8B" w:rsidRDefault="00E01C8B" w:rsidP="00113D22">
            <w:pPr>
              <w:spacing w:after="0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</w:t>
            </w:r>
          </w:p>
        </w:tc>
      </w:tr>
      <w:tr w:rsidR="00334CF9" w:rsidRPr="00E36110" w14:paraId="62CF3F39" w14:textId="77777777" w:rsidTr="00DE5B2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070924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070924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070924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070924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070924">
              <w:rPr>
                <w:color w:val="000000"/>
                <w:lang w:val="en-US"/>
              </w:rPr>
              <w:t>:</w:t>
            </w:r>
          </w:p>
          <w:p w14:paraId="17779D03" w14:textId="786B60E3" w:rsidR="00856828" w:rsidRPr="004F2BA8" w:rsidRDefault="00537E6C" w:rsidP="00537E6C">
            <w:pPr>
              <w:spacing w:after="0"/>
              <w:rPr>
                <w:i/>
                <w:iCs/>
                <w:lang w:val="en-US"/>
              </w:rPr>
            </w:pPr>
            <w:r w:rsidRPr="00113D22">
              <w:rPr>
                <w:b/>
                <w:bCs/>
                <w:lang w:val="en-US"/>
              </w:rPr>
              <w:t>Proficiency in Russian (speaking, writing texts of scientific articles, presentation at a scientific conference), higher medical education,</w:t>
            </w:r>
            <w:r w:rsidRPr="00537E6C">
              <w:rPr>
                <w:lang w:val="en-US"/>
              </w:rPr>
              <w:t xml:space="preserve"> availability of a research base, experience in planning and conducting scientific research and publishing results, knowledge of statistical analysis methods, ability to use the SPSS program</w:t>
            </w:r>
            <w:r>
              <w:rPr>
                <w:lang w:val="en-US"/>
              </w:rPr>
              <w:t>.</w:t>
            </w:r>
          </w:p>
        </w:tc>
      </w:tr>
      <w:tr w:rsidR="00334CF9" w:rsidRPr="00856828" w14:paraId="66FA5DAF" w14:textId="77777777" w:rsidTr="00DE5B2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334CF9" w:rsidRPr="004F2BA8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0DEA4355" w14:textId="77777777" w:rsidR="009932FE" w:rsidRPr="00070924" w:rsidRDefault="00334CF9" w:rsidP="009932FE">
            <w:pPr>
              <w:spacing w:after="0"/>
              <w:rPr>
                <w:lang w:val="en-US"/>
              </w:rPr>
            </w:pPr>
            <w:r w:rsidRPr="00070924">
              <w:rPr>
                <w:lang w:val="en-US"/>
              </w:rPr>
              <w:t>Supervisor’s main publications</w:t>
            </w:r>
          </w:p>
          <w:p w14:paraId="4D1F843B" w14:textId="77777777" w:rsidR="00334CF9" w:rsidRDefault="00537E6C" w:rsidP="001A2AC1">
            <w:pPr>
              <w:spacing w:after="0"/>
              <w:rPr>
                <w:lang w:val="en-US"/>
              </w:rPr>
            </w:pPr>
            <w:r w:rsidRPr="00537E6C">
              <w:rPr>
                <w:lang w:val="en-US"/>
              </w:rPr>
              <w:t xml:space="preserve">16 </w:t>
            </w:r>
            <w:r w:rsidR="00856828" w:rsidRPr="00537E6C">
              <w:rPr>
                <w:lang w:val="en-US"/>
              </w:rPr>
              <w:t>publications</w:t>
            </w:r>
            <w:r w:rsidR="00856828" w:rsidRPr="007C4F51">
              <w:rPr>
                <w:lang w:val="en-US"/>
              </w:rPr>
              <w:t xml:space="preserve"> in journals indexed by Web of Science, Scopus, RSCI over the </w:t>
            </w:r>
            <w:r w:rsidR="00856828">
              <w:rPr>
                <w:lang w:val="en-US"/>
              </w:rPr>
              <w:t>l</w:t>
            </w:r>
            <w:r w:rsidR="00856828" w:rsidRPr="007C4F51">
              <w:rPr>
                <w:lang w:val="en-US"/>
              </w:rPr>
              <w:t>ast 5 years</w:t>
            </w:r>
            <w:r w:rsidR="00ED42DA">
              <w:rPr>
                <w:lang w:val="en-US"/>
              </w:rPr>
              <w:t>:</w:t>
            </w:r>
          </w:p>
          <w:p w14:paraId="787F1314" w14:textId="77777777" w:rsidR="00ED42DA" w:rsidRPr="009C02B2" w:rsidRDefault="00ED42DA" w:rsidP="00ED42DA">
            <w:pPr>
              <w:numPr>
                <w:ilvl w:val="0"/>
                <w:numId w:val="8"/>
              </w:numPr>
              <w:shd w:val="clear" w:color="auto" w:fill="FFFFFF"/>
              <w:spacing w:after="0"/>
              <w:ind w:right="45"/>
              <w:rPr>
                <w:lang w:val="en-US"/>
              </w:rPr>
            </w:pPr>
            <w:proofErr w:type="spellStart"/>
            <w:r w:rsidRPr="00227CCC">
              <w:rPr>
                <w:bdr w:val="none" w:sz="0" w:space="0" w:color="auto" w:frame="1"/>
                <w:lang w:val="en-US"/>
              </w:rPr>
              <w:t>Reshetnikov</w:t>
            </w:r>
            <w:proofErr w:type="spellEnd"/>
            <w:r w:rsidRPr="00227CCC">
              <w:rPr>
                <w:lang w:val="en-US"/>
              </w:rPr>
              <w:t xml:space="preserve"> V.A., </w:t>
            </w:r>
            <w:proofErr w:type="spellStart"/>
            <w:r w:rsidRPr="00227CCC">
              <w:rPr>
                <w:b/>
                <w:bCs/>
                <w:lang w:val="en-US"/>
              </w:rPr>
              <w:t>Ekkert</w:t>
            </w:r>
            <w:proofErr w:type="spellEnd"/>
            <w:r w:rsidRPr="00227CCC">
              <w:rPr>
                <w:b/>
                <w:bCs/>
                <w:lang w:val="en-US"/>
              </w:rPr>
              <w:t xml:space="preserve"> N.V.,</w:t>
            </w:r>
            <w:r w:rsidRPr="00227CCC">
              <w:rPr>
                <w:lang w:val="en-US"/>
              </w:rPr>
              <w:t xml:space="preserve"> </w:t>
            </w:r>
            <w:proofErr w:type="spellStart"/>
            <w:r w:rsidRPr="00227CCC">
              <w:rPr>
                <w:lang w:val="en-US"/>
              </w:rPr>
              <w:t>Capasso</w:t>
            </w:r>
            <w:proofErr w:type="spellEnd"/>
            <w:r w:rsidRPr="00227CCC">
              <w:rPr>
                <w:lang w:val="en-US"/>
              </w:rPr>
              <w:t xml:space="preserve"> L., </w:t>
            </w:r>
            <w:proofErr w:type="spellStart"/>
            <w:r w:rsidRPr="00227CCC">
              <w:rPr>
                <w:lang w:val="en-US"/>
              </w:rPr>
              <w:t>Arsentyev</w:t>
            </w:r>
            <w:proofErr w:type="spellEnd"/>
            <w:r w:rsidRPr="00227CCC">
              <w:rPr>
                <w:lang w:val="en-US"/>
              </w:rPr>
              <w:t xml:space="preserve"> E.V., </w:t>
            </w:r>
            <w:proofErr w:type="spellStart"/>
            <w:r w:rsidRPr="00227CCC">
              <w:rPr>
                <w:bCs/>
                <w:lang w:val="en-US"/>
              </w:rPr>
              <w:t>Mikerova</w:t>
            </w:r>
            <w:proofErr w:type="spellEnd"/>
            <w:r w:rsidRPr="00227CCC">
              <w:rPr>
                <w:bCs/>
                <w:lang w:val="en-US"/>
              </w:rPr>
              <w:t xml:space="preserve"> M.S.,</w:t>
            </w:r>
            <w:r w:rsidRPr="00227CCC">
              <w:rPr>
                <w:lang w:val="en-US"/>
              </w:rPr>
              <w:t xml:space="preserve"> </w:t>
            </w:r>
            <w:proofErr w:type="spellStart"/>
            <w:r w:rsidRPr="00227CCC">
              <w:rPr>
                <w:lang w:val="en-US"/>
              </w:rPr>
              <w:t>Yukushina</w:t>
            </w:r>
            <w:proofErr w:type="spellEnd"/>
            <w:r w:rsidRPr="00227CCC">
              <w:rPr>
                <w:lang w:val="en-US"/>
              </w:rPr>
              <w:t xml:space="preserve"> I.I. The history of public healthcare in Russia. </w:t>
            </w:r>
            <w:proofErr w:type="spellStart"/>
            <w:r w:rsidRPr="00227CCC">
              <w:rPr>
                <w:lang w:val="en-US"/>
              </w:rPr>
              <w:t>Medicina</w:t>
            </w:r>
            <w:proofErr w:type="spellEnd"/>
            <w:r w:rsidRPr="00227CCC">
              <w:rPr>
                <w:lang w:val="en-US"/>
              </w:rPr>
              <w:t xml:space="preserve"> </w:t>
            </w:r>
            <w:proofErr w:type="spellStart"/>
            <w:r w:rsidRPr="00227CCC">
              <w:rPr>
                <w:lang w:val="en-US"/>
              </w:rPr>
              <w:t>Historica</w:t>
            </w:r>
            <w:proofErr w:type="spellEnd"/>
            <w:r w:rsidRPr="00227CCC">
              <w:rPr>
                <w:lang w:val="en-US"/>
              </w:rPr>
              <w:t xml:space="preserve"> 2019; Vol. 3, N. 1: 16-24.  </w:t>
            </w:r>
          </w:p>
          <w:p w14:paraId="3E0BE951" w14:textId="7F671AE5" w:rsidR="00ED42DA" w:rsidRPr="009C02B2" w:rsidRDefault="00641027" w:rsidP="00ED42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Ekkert</w:t>
            </w:r>
            <w:proofErr w:type="spellEnd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N.V.,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Polukhin</w:t>
            </w:r>
            <w:proofErr w:type="spellEnd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N.V. Presentation of information for consumers of medical services on the websites of medical organizations: problems and solutions. Medical 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technologies. Evaluation and selection</w:t>
            </w:r>
            <w:r w:rsidR="00ED42DA"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2019; 37(3): 62-70. DOI: 10.31556/2219-0678.2019.37.3.062-070.</w:t>
            </w:r>
          </w:p>
          <w:p w14:paraId="6A02966D" w14:textId="24451A71" w:rsidR="00ED42DA" w:rsidRPr="009C02B2" w:rsidRDefault="00ED42DA" w:rsidP="00ED42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Mihajlo </w:t>
            </w:r>
            <w:proofErr w:type="spellStart"/>
            <w:proofErr w:type="gramStart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Jakovljevic</w:t>
            </w:r>
            <w:proofErr w:type="spellEnd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Natalia</w:t>
            </w:r>
            <w:proofErr w:type="gramEnd"/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Ekkert</w:t>
            </w:r>
            <w:proofErr w:type="spellEnd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Maria </w:t>
            </w: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Mikerova</w:t>
            </w:r>
            <w:proofErr w:type="spellEnd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Vladimir </w:t>
            </w: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Reshetnikov</w:t>
            </w:r>
            <w:proofErr w:type="spellEnd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BRICs Nations Growing Impact on the Global Health Sector. </w:t>
            </w:r>
            <w:r w:rsidR="00641027"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MGIMO University.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2019; 12(6): 150-166. DOI: 10.24833/2071-8160-2019-6-69-150-166.</w:t>
            </w:r>
          </w:p>
          <w:p w14:paraId="0051B0D0" w14:textId="783DDA79" w:rsidR="00ED42DA" w:rsidRPr="00851246" w:rsidRDefault="00641027" w:rsidP="00ED42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Agarkov</w:t>
            </w:r>
            <w:proofErr w:type="spellEnd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N.M., </w:t>
            </w:r>
            <w:proofErr w:type="spellStart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Ekkert</w:t>
            </w:r>
            <w:proofErr w:type="spellEnd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N.V.,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Kulabukhov</w:t>
            </w:r>
            <w:proofErr w:type="spellEnd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 Quality of life of gerontological patients with chronic heart failure. System analysis and control in biomedical systems.</w:t>
            </w:r>
            <w:r w:rsidR="00ED42DA"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2019; 18(2): 163-167. </w:t>
            </w:r>
            <w:r w:rsidR="00ED42DA" w:rsidRPr="00F1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ED42DA" w:rsidRPr="00851246">
              <w:rPr>
                <w:rFonts w:ascii="Times New Roman" w:hAnsi="Times New Roman" w:cs="Times New Roman"/>
                <w:sz w:val="24"/>
                <w:szCs w:val="24"/>
              </w:rPr>
              <w:t>: 10.25987/</w:t>
            </w:r>
            <w:r w:rsidR="00ED42DA" w:rsidRPr="00F1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VSTU</w:t>
            </w:r>
            <w:r w:rsidR="00ED42DA" w:rsidRPr="00851246">
              <w:rPr>
                <w:rFonts w:ascii="Times New Roman" w:hAnsi="Times New Roman" w:cs="Times New Roman"/>
                <w:sz w:val="24"/>
                <w:szCs w:val="24"/>
              </w:rPr>
              <w:t>.2019.18.2.024.</w:t>
            </w:r>
          </w:p>
          <w:p w14:paraId="58F8CD8A" w14:textId="475F7A82" w:rsidR="00ED42DA" w:rsidRPr="00641027" w:rsidRDefault="00641027" w:rsidP="00ED42DA">
            <w:pPr>
              <w:numPr>
                <w:ilvl w:val="0"/>
                <w:numId w:val="8"/>
              </w:numPr>
              <w:shd w:val="clear" w:color="auto" w:fill="FFFFFF"/>
              <w:rPr>
                <w:lang w:val="en-US"/>
              </w:rPr>
            </w:pPr>
            <w:proofErr w:type="spellStart"/>
            <w:r w:rsidRPr="00641027">
              <w:rPr>
                <w:b/>
                <w:bCs/>
                <w:lang w:val="en-US"/>
              </w:rPr>
              <w:t>Ekkert</w:t>
            </w:r>
            <w:proofErr w:type="spellEnd"/>
            <w:r w:rsidRPr="00641027">
              <w:rPr>
                <w:b/>
                <w:bCs/>
                <w:lang w:val="en-US"/>
              </w:rPr>
              <w:t xml:space="preserve"> N.V.,</w:t>
            </w:r>
            <w:r w:rsidRPr="00641027">
              <w:rPr>
                <w:lang w:val="en-US"/>
              </w:rPr>
              <w:t xml:space="preserve"> </w:t>
            </w:r>
            <w:proofErr w:type="spellStart"/>
            <w:r w:rsidRPr="00641027">
              <w:rPr>
                <w:lang w:val="en-US"/>
              </w:rPr>
              <w:t>Vodolagin</w:t>
            </w:r>
            <w:proofErr w:type="spellEnd"/>
            <w:r w:rsidRPr="00641027">
              <w:rPr>
                <w:lang w:val="en-US"/>
              </w:rPr>
              <w:t xml:space="preserve"> M.V. Possibilities of using remote monitoring of the health status of patients suffering from diabetes. Educational newsletter Consciousness.</w:t>
            </w:r>
            <w:r w:rsidR="00ED42DA" w:rsidRPr="00641027">
              <w:rPr>
                <w:lang w:val="en-US"/>
              </w:rPr>
              <w:t>2019; 21(12): 11-16. DOI: 10.26787/nydha-2686-6846-2019-21-12-11-16.</w:t>
            </w:r>
          </w:p>
          <w:p w14:paraId="5BF206E4" w14:textId="77777777" w:rsidR="00ED42DA" w:rsidRPr="00851246" w:rsidRDefault="00ED42DA" w:rsidP="00ED42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Jakovljevic</w:t>
            </w:r>
            <w:proofErr w:type="spellEnd"/>
            <w:r w:rsidRPr="0085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85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Timofeyev</w:t>
            </w:r>
            <w:proofErr w:type="spellEnd"/>
            <w:r w:rsidRPr="0085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Y., </w:t>
            </w:r>
            <w:proofErr w:type="spellStart"/>
            <w:r w:rsidRPr="00851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Ekkert</w:t>
            </w:r>
            <w:proofErr w:type="spellEnd"/>
            <w:r w:rsidRPr="00851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N.V</w:t>
            </w:r>
            <w:r w:rsidRPr="0085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et al. The impact of health expenditures on public health in BRICS nations. Journal of Sport and Health Science. 2019; 8(6): 516-519. DOI: 10.1016/j.jshs.2019.09.002.</w:t>
            </w:r>
          </w:p>
          <w:p w14:paraId="6EFF464C" w14:textId="054FB0A7" w:rsidR="00ED42DA" w:rsidRPr="009C02B2" w:rsidRDefault="00ED42DA" w:rsidP="00ED42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Polukhin</w:t>
            </w:r>
            <w:proofErr w:type="spellEnd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Ekkert</w:t>
            </w:r>
            <w:proofErr w:type="spellEnd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.,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Kozlov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1027"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preferences of patients in the context of communication on websites of medical organizations.</w:t>
            </w:r>
            <w:r w:rsid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Siberian Journal of Life Sciences and Agriculture. 2021; 13(5): 226-246. DOI: 10.12731/2658-6649-2021-13-5-226-246.</w:t>
            </w:r>
          </w:p>
          <w:p w14:paraId="5238B9E9" w14:textId="325F3FCB" w:rsidR="00ED42DA" w:rsidRPr="009C02B2" w:rsidRDefault="00ED42DA" w:rsidP="00ED42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Vodolagin</w:t>
            </w:r>
            <w:proofErr w:type="spellEnd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kkert</w:t>
            </w:r>
            <w:proofErr w:type="spellEnd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.,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Kozlov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1027"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Assessing the influence of medical and social factors on the adherence of patients with diabetes to lifestyle </w:t>
            </w:r>
            <w:r w:rsid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modification.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Siberian Journal of Life Sciences and Agriculture. 2021; 13(5): 247-263. DOI: 10.12731/2658-6649-2021-13-5-247-263.</w:t>
            </w:r>
          </w:p>
          <w:p w14:paraId="6540F37D" w14:textId="271267C2" w:rsidR="00ED42DA" w:rsidRPr="009C02B2" w:rsidRDefault="00ED42DA" w:rsidP="00ED42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Tregubov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Ekkert</w:t>
            </w:r>
            <w:proofErr w:type="spellEnd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N.V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Mikhailovsky</w:t>
            </w:r>
            <w:proofErr w:type="spellEnd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1027"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history of training of healthcare managers in residency.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Medicine. 2021; 7(2): 140-146. DOI: 10.17720/2409-5834.v7.2.2021.03c.</w:t>
            </w:r>
          </w:p>
          <w:p w14:paraId="07C9E612" w14:textId="12B176AB" w:rsidR="00ED42DA" w:rsidRPr="009C02B2" w:rsidRDefault="00641027" w:rsidP="00ED42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Reshetnikov</w:t>
            </w:r>
            <w:proofErr w:type="spellEnd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kert</w:t>
            </w:r>
            <w:proofErr w:type="spellEnd"/>
            <w:r w:rsidRPr="00641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N.V.,</w:t>
            </w:r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Manerova</w:t>
            </w:r>
            <w:proofErr w:type="spellEnd"/>
            <w:r w:rsidRPr="0064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O.A. [and etc.]. Assessing stakeholder requirements for a master's program in public health: an analysis of the situation and needs in Russia. Medical bulletin of the Ministry of Internal Affairs.</w:t>
            </w:r>
            <w:r w:rsidR="00ED42DA"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2021; 110(1): 13-18. URL: elibrary.ru/</w:t>
            </w:r>
            <w:proofErr w:type="spellStart"/>
            <w:r w:rsidR="00ED42DA"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="00ED42DA" w:rsidRPr="009C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=44652288.</w:t>
            </w:r>
          </w:p>
          <w:p w14:paraId="678BE3FA" w14:textId="25DBD786" w:rsidR="00ED42DA" w:rsidRPr="00ED42DA" w:rsidRDefault="00ED42DA" w:rsidP="00ED42DA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2B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Nikolic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Turnic</w:t>
            </w:r>
            <w:proofErr w:type="spellEnd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T., Vasiljevic I., </w:t>
            </w: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Stanic</w:t>
            </w:r>
            <w:proofErr w:type="spellEnd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M., </w:t>
            </w: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Jakovljevic</w:t>
            </w:r>
            <w:proofErr w:type="spellEnd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B., </w:t>
            </w:r>
            <w:proofErr w:type="spellStart"/>
            <w:r w:rsidRPr="009C02B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Mikerova</w:t>
            </w:r>
            <w:proofErr w:type="spellEnd"/>
            <w:r w:rsidRPr="009C02B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9C02B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</w:t>
            </w:r>
            <w:r w:rsidRPr="009C02B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.,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Ekkert</w:t>
            </w:r>
            <w:proofErr w:type="spellEnd"/>
            <w:r w:rsidRPr="009C02B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N.,</w:t>
            </w:r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Reshetnikov</w:t>
            </w:r>
            <w:proofErr w:type="spellEnd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V.</w:t>
            </w:r>
            <w:proofErr w:type="gramStart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,  </w:t>
            </w:r>
            <w:proofErr w:type="spellStart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Jakovljevic</w:t>
            </w:r>
            <w:proofErr w:type="spellEnd"/>
            <w:proofErr w:type="gramEnd"/>
            <w:r w:rsidRPr="009C02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V. Post-COVID-19 Status and Its Physical, Nutritional, </w:t>
            </w:r>
            <w:r w:rsidRPr="008E24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Psychological, and Social Effects in Working-Age Adults – A Prospective Questionnaire Study. /Journal of Clinical Medicine. – 2022. – 11. – 6668. </w:t>
            </w:r>
            <w:hyperlink r:id="rId9" w:history="1">
              <w:r w:rsidRPr="008E248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https://doi.org/10.3390/jcm11226668</w:t>
              </w:r>
            </w:hyperlink>
            <w:r w:rsidRPr="008E24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  <w:p w14:paraId="215FE8A7" w14:textId="55F2CEF1" w:rsidR="00ED42DA" w:rsidRDefault="00ED42DA" w:rsidP="00ED42DA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E2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Polukhin</w:t>
            </w:r>
            <w:proofErr w:type="spellEnd"/>
            <w:r w:rsidRPr="008E2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N.V., </w:t>
            </w:r>
            <w:proofErr w:type="spellStart"/>
            <w:r w:rsidRPr="008E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Ekkert</w:t>
            </w:r>
            <w:proofErr w:type="spellEnd"/>
            <w:r w:rsidRPr="008E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N.V.</w:t>
            </w:r>
            <w:r w:rsidRPr="008E2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Predictive Factors for Online Health Information-Seeking Behavior among Adults in the </w:t>
            </w:r>
            <w:r w:rsidRPr="008E2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Russian Federation. </w:t>
            </w:r>
            <w:r w:rsidRPr="00ED42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Iranian Journal of Public Health. 2022; 51(9): 2034-2040. DOI: 10.18502/</w:t>
            </w:r>
            <w:proofErr w:type="gramStart"/>
            <w:r w:rsidRPr="00ED42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ijph.v</w:t>
            </w:r>
            <w:proofErr w:type="gramEnd"/>
            <w:r w:rsidRPr="00ED42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51i9.10558.</w:t>
            </w:r>
          </w:p>
          <w:p w14:paraId="776D1D0A" w14:textId="41AE1A2E" w:rsidR="00ED42DA" w:rsidRPr="00ED42DA" w:rsidRDefault="00F51841" w:rsidP="00ED42DA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Shekun</w:t>
            </w:r>
            <w:proofErr w:type="spellEnd"/>
            <w:r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F51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F51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kert</w:t>
            </w:r>
            <w:proofErr w:type="spellEnd"/>
            <w:r w:rsidRPr="00F51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N.V.,</w:t>
            </w:r>
            <w:r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Reshetnikov</w:t>
            </w:r>
            <w:proofErr w:type="spellEnd"/>
            <w:r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Skvirskaya</w:t>
            </w:r>
            <w:proofErr w:type="spellEnd"/>
            <w:r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G.P. History of the formation and development of Russian public associations in the field of protection and promotion of public health. Medical bulletin of the Ministry of Internal </w:t>
            </w:r>
            <w:proofErr w:type="gramStart"/>
            <w:r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Affairs.</w:t>
            </w:r>
            <w:r w:rsidR="00ED42DA"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ED42DA" w:rsidRP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42DA" w:rsidRPr="00ED42DA">
              <w:rPr>
                <w:rFonts w:ascii="Times New Roman" w:hAnsi="Times New Roman" w:cs="Times New Roman"/>
                <w:sz w:val="24"/>
                <w:szCs w:val="24"/>
              </w:rPr>
              <w:t>2022; 119(4): 46-52. DOI: 10.52341/20738080_2022_119_4_46.</w:t>
            </w:r>
          </w:p>
          <w:p w14:paraId="0C5A0BC0" w14:textId="6C83EF78" w:rsidR="00ED42DA" w:rsidRDefault="00ED42DA" w:rsidP="00F5184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Polukhin</w:t>
            </w:r>
            <w:proofErr w:type="spellEnd"/>
            <w:r w:rsidRPr="008E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D64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Ekkert</w:t>
            </w:r>
            <w:proofErr w:type="spellEnd"/>
            <w:r w:rsidRPr="00D64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N.V.</w:t>
            </w:r>
            <w:r w:rsidRPr="00D6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Sociodemographic and health-related predictors of online information seeking on healthcare providers in Russian adults. Russian Open Medical Journal. 2022; 11(3): e0308.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="00F51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10.15275/rusomj.2022.0308.</w:t>
            </w:r>
          </w:p>
          <w:p w14:paraId="320E89B1" w14:textId="77777777" w:rsidR="00E01C8B" w:rsidRPr="00E01C8B" w:rsidRDefault="00E01C8B" w:rsidP="00E01C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Nikita V. </w:t>
            </w:r>
            <w:proofErr w:type="spellStart"/>
            <w:proofErr w:type="gramStart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Polukhin</w:t>
            </w:r>
            <w:proofErr w:type="spellEnd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Tamara R. Nikolic </w:t>
            </w:r>
            <w:proofErr w:type="spellStart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Turnic</w:t>
            </w:r>
            <w:proofErr w:type="spellEnd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01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Natalia V. </w:t>
            </w:r>
            <w:proofErr w:type="spellStart"/>
            <w:r w:rsidRPr="00E01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Ekkert</w:t>
            </w:r>
            <w:proofErr w:type="spellEnd"/>
            <w:r w:rsidRPr="00E01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Vladimir A. </w:t>
            </w:r>
            <w:proofErr w:type="spellStart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Reshetnikov</w:t>
            </w:r>
            <w:proofErr w:type="spellEnd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Valery V. </w:t>
            </w:r>
            <w:proofErr w:type="spellStart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Royuk</w:t>
            </w:r>
            <w:proofErr w:type="spellEnd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Vera R. </w:t>
            </w:r>
            <w:proofErr w:type="spellStart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Shastina</w:t>
            </w:r>
            <w:proofErr w:type="spellEnd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Mikhail V. </w:t>
            </w:r>
            <w:proofErr w:type="spellStart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Vodolagin</w:t>
            </w:r>
            <w:proofErr w:type="spellEnd"/>
            <w:r w:rsidRPr="00E01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Analysis of the Context of Digital Access to Healthcare in Russia. Sustainability 2023, 15, 2271. https://doi.org/10.3390/su15032271</w:t>
            </w:r>
          </w:p>
          <w:p w14:paraId="687A85A2" w14:textId="75D181A7" w:rsidR="00ED42DA" w:rsidRPr="008E2480" w:rsidRDefault="00F51841" w:rsidP="00ED42DA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1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Shekun</w:t>
            </w:r>
            <w:proofErr w:type="spellEnd"/>
            <w:r w:rsidRPr="00F51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A.V., Smirnov K.A., </w:t>
            </w:r>
            <w:proofErr w:type="spellStart"/>
            <w:r w:rsidRPr="00F51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Tsvich</w:t>
            </w:r>
            <w:proofErr w:type="spellEnd"/>
            <w:r w:rsidRPr="00F51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D.A., </w:t>
            </w:r>
            <w:proofErr w:type="spellStart"/>
            <w:r w:rsidRPr="00F518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F518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kert</w:t>
            </w:r>
            <w:proofErr w:type="spellEnd"/>
            <w:r w:rsidRPr="00F518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N.V.</w:t>
            </w:r>
            <w:r w:rsidRPr="00F51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role of social movements in monitoring the implementation of government programs in the field of protecting and promoting public health. / Bulletin of the National Research Institute of Public Health named after N. A. Semashko.</w:t>
            </w:r>
            <w:r w:rsidR="00ED42DA" w:rsidRPr="00F51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2023.  № 1. – </w:t>
            </w:r>
            <w:r w:rsidR="00ED42DA" w:rsidRPr="00844B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D42DA" w:rsidRPr="00F51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.120-125.</w:t>
            </w:r>
            <w:r w:rsidR="00ED42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42DA" w:rsidRPr="00F5184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doi</w:t>
            </w:r>
            <w:proofErr w:type="spellEnd"/>
            <w:r w:rsidR="00ED42DA" w:rsidRPr="00F5184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: 10.25742/NRIPH.2023.01.020</w:t>
            </w:r>
          </w:p>
          <w:p w14:paraId="3F2419B0" w14:textId="24683755" w:rsidR="00ED42DA" w:rsidRPr="00ED42DA" w:rsidRDefault="00ED42DA" w:rsidP="001A2AC1">
            <w:pPr>
              <w:spacing w:after="0"/>
              <w:rPr>
                <w:i/>
                <w:iCs/>
                <w:lang w:val="en-US"/>
              </w:rPr>
            </w:pPr>
          </w:p>
        </w:tc>
      </w:tr>
      <w:tr w:rsidR="00334CF9" w:rsidRPr="001E3C4E" w14:paraId="73C81A97" w14:textId="77777777" w:rsidTr="00DE5B2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334CF9" w:rsidRPr="00856828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77777777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14:paraId="38F395D7" w14:textId="1646511E" w:rsidR="00334CF9" w:rsidRPr="001E3C4E" w:rsidRDefault="00DE38FA" w:rsidP="00DE38FA">
            <w:pPr>
              <w:spacing w:after="0"/>
              <w:jc w:val="center"/>
            </w:pPr>
            <w:r>
              <w:t>-</w:t>
            </w:r>
          </w:p>
        </w:tc>
      </w:tr>
    </w:tbl>
    <w:p w14:paraId="01BB35D4" w14:textId="77777777" w:rsidR="00334CF9" w:rsidRPr="001E3C4E" w:rsidRDefault="00334CF9" w:rsidP="009932FE"/>
    <w:sectPr w:rsidR="00334CF9" w:rsidRPr="001E3C4E" w:rsidSect="00C55CAC">
      <w:footerReference w:type="even" r:id="rId10"/>
      <w:footerReference w:type="default" r:id="rId11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13FA" w14:textId="77777777" w:rsidR="002D712D" w:rsidRDefault="002D712D">
      <w:pPr>
        <w:spacing w:after="0"/>
      </w:pPr>
      <w:r>
        <w:separator/>
      </w:r>
    </w:p>
  </w:endnote>
  <w:endnote w:type="continuationSeparator" w:id="0">
    <w:p w14:paraId="376D36E9" w14:textId="77777777" w:rsidR="002D712D" w:rsidRDefault="002D7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5A79" w14:textId="77777777" w:rsidR="002D712D" w:rsidRDefault="002D712D">
      <w:pPr>
        <w:spacing w:after="0"/>
      </w:pPr>
      <w:r>
        <w:separator/>
      </w:r>
    </w:p>
  </w:footnote>
  <w:footnote w:type="continuationSeparator" w:id="0">
    <w:p w14:paraId="5127D93B" w14:textId="77777777" w:rsidR="002D712D" w:rsidRDefault="002D71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A5D5F"/>
    <w:multiLevelType w:val="hybridMultilevel"/>
    <w:tmpl w:val="B39012A2"/>
    <w:lvl w:ilvl="0" w:tplc="3216E834">
      <w:start w:val="1"/>
      <w:numFmt w:val="decimal"/>
      <w:lvlText w:val="%1."/>
      <w:lvlJc w:val="left"/>
      <w:pPr>
        <w:ind w:left="501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6956"/>
    <w:multiLevelType w:val="multilevel"/>
    <w:tmpl w:val="8664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C50D2"/>
    <w:multiLevelType w:val="hybridMultilevel"/>
    <w:tmpl w:val="B39012A2"/>
    <w:lvl w:ilvl="0" w:tplc="FFFFFFFF">
      <w:start w:val="1"/>
      <w:numFmt w:val="decimal"/>
      <w:lvlText w:val="%1."/>
      <w:lvlJc w:val="left"/>
      <w:pPr>
        <w:ind w:left="501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C1ACF"/>
    <w:multiLevelType w:val="hybridMultilevel"/>
    <w:tmpl w:val="3B8CEF2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11C4"/>
    <w:multiLevelType w:val="hybridMultilevel"/>
    <w:tmpl w:val="F86A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0E06"/>
    <w:multiLevelType w:val="hybridMultilevel"/>
    <w:tmpl w:val="3B8CEF2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469FC"/>
    <w:multiLevelType w:val="hybridMultilevel"/>
    <w:tmpl w:val="B39012A2"/>
    <w:lvl w:ilvl="0" w:tplc="FFFFFFFF">
      <w:start w:val="1"/>
      <w:numFmt w:val="decimal"/>
      <w:lvlText w:val="%1."/>
      <w:lvlJc w:val="left"/>
      <w:pPr>
        <w:ind w:left="501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2192">
    <w:abstractNumId w:val="0"/>
  </w:num>
  <w:num w:numId="2" w16cid:durableId="1117218757">
    <w:abstractNumId w:val="5"/>
  </w:num>
  <w:num w:numId="3" w16cid:durableId="503714969">
    <w:abstractNumId w:val="1"/>
  </w:num>
  <w:num w:numId="4" w16cid:durableId="1397239877">
    <w:abstractNumId w:val="4"/>
  </w:num>
  <w:num w:numId="5" w16cid:durableId="1220633345">
    <w:abstractNumId w:val="6"/>
  </w:num>
  <w:num w:numId="6" w16cid:durableId="892694167">
    <w:abstractNumId w:val="2"/>
  </w:num>
  <w:num w:numId="7" w16cid:durableId="863061727">
    <w:abstractNumId w:val="7"/>
  </w:num>
  <w:num w:numId="8" w16cid:durableId="201525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03AD7"/>
    <w:rsid w:val="00062064"/>
    <w:rsid w:val="00066190"/>
    <w:rsid w:val="00070924"/>
    <w:rsid w:val="0007348D"/>
    <w:rsid w:val="00080363"/>
    <w:rsid w:val="00084771"/>
    <w:rsid w:val="000B0B56"/>
    <w:rsid w:val="000C6EB3"/>
    <w:rsid w:val="00102B53"/>
    <w:rsid w:val="00113D22"/>
    <w:rsid w:val="001A2AC1"/>
    <w:rsid w:val="001A2BCE"/>
    <w:rsid w:val="001B3954"/>
    <w:rsid w:val="001E3C4E"/>
    <w:rsid w:val="00200ADC"/>
    <w:rsid w:val="00201031"/>
    <w:rsid w:val="00227CCC"/>
    <w:rsid w:val="00236C0D"/>
    <w:rsid w:val="00266DBA"/>
    <w:rsid w:val="002955D1"/>
    <w:rsid w:val="002D712D"/>
    <w:rsid w:val="00305558"/>
    <w:rsid w:val="00334CF9"/>
    <w:rsid w:val="00383611"/>
    <w:rsid w:val="00393AB6"/>
    <w:rsid w:val="003A0C7D"/>
    <w:rsid w:val="003E7976"/>
    <w:rsid w:val="003F58AD"/>
    <w:rsid w:val="003F7905"/>
    <w:rsid w:val="00415F4A"/>
    <w:rsid w:val="00430381"/>
    <w:rsid w:val="00432894"/>
    <w:rsid w:val="00443334"/>
    <w:rsid w:val="00462509"/>
    <w:rsid w:val="00477A8D"/>
    <w:rsid w:val="004A1BB4"/>
    <w:rsid w:val="004D0B99"/>
    <w:rsid w:val="004E160A"/>
    <w:rsid w:val="004F2BA8"/>
    <w:rsid w:val="00537E6C"/>
    <w:rsid w:val="00541EB1"/>
    <w:rsid w:val="00574174"/>
    <w:rsid w:val="005A0E05"/>
    <w:rsid w:val="005C5748"/>
    <w:rsid w:val="00612B32"/>
    <w:rsid w:val="00614D2B"/>
    <w:rsid w:val="00641027"/>
    <w:rsid w:val="006871A0"/>
    <w:rsid w:val="006C600C"/>
    <w:rsid w:val="006D1128"/>
    <w:rsid w:val="007501B2"/>
    <w:rsid w:val="0078475A"/>
    <w:rsid w:val="00784EB3"/>
    <w:rsid w:val="00791150"/>
    <w:rsid w:val="00794773"/>
    <w:rsid w:val="007B1D2A"/>
    <w:rsid w:val="007D57B1"/>
    <w:rsid w:val="007F07F2"/>
    <w:rsid w:val="0080614F"/>
    <w:rsid w:val="008321F7"/>
    <w:rsid w:val="00843783"/>
    <w:rsid w:val="00844B63"/>
    <w:rsid w:val="00851246"/>
    <w:rsid w:val="00856828"/>
    <w:rsid w:val="00877AD3"/>
    <w:rsid w:val="00892FD2"/>
    <w:rsid w:val="008971A2"/>
    <w:rsid w:val="008D0736"/>
    <w:rsid w:val="008D20D8"/>
    <w:rsid w:val="008E2480"/>
    <w:rsid w:val="008F6B77"/>
    <w:rsid w:val="009667C5"/>
    <w:rsid w:val="009932FE"/>
    <w:rsid w:val="009C02B2"/>
    <w:rsid w:val="00A222F3"/>
    <w:rsid w:val="00A3702F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64464"/>
    <w:rsid w:val="00D96736"/>
    <w:rsid w:val="00D96AF8"/>
    <w:rsid w:val="00DA4797"/>
    <w:rsid w:val="00DA61AA"/>
    <w:rsid w:val="00DD0582"/>
    <w:rsid w:val="00DD5885"/>
    <w:rsid w:val="00DE38FA"/>
    <w:rsid w:val="00E01C8B"/>
    <w:rsid w:val="00E36110"/>
    <w:rsid w:val="00E41FC2"/>
    <w:rsid w:val="00E90BB3"/>
    <w:rsid w:val="00EB2835"/>
    <w:rsid w:val="00ED1437"/>
    <w:rsid w:val="00ED42DA"/>
    <w:rsid w:val="00F11C19"/>
    <w:rsid w:val="00F16317"/>
    <w:rsid w:val="00F31B6E"/>
    <w:rsid w:val="00F51841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DA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9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jcm11226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2024-02-01T11:12:00Z</dcterms:created>
  <dcterms:modified xsi:type="dcterms:W3CDTF">2024-02-01T11:12:00Z</dcterms:modified>
</cp:coreProperties>
</file>