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10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40"/>
      </w:tblGrid>
      <w:tr w:rsidR="0007348D" w:rsidRPr="001E3C4E" w14:paraId="23FD6442" w14:textId="77777777" w:rsidTr="009A5E47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540" w:type="dxa"/>
            <w:shd w:val="clear" w:color="auto" w:fill="auto"/>
            <w:noWrap/>
          </w:tcPr>
          <w:p w14:paraId="34FB33C2" w14:textId="6322DDAC" w:rsidR="00AD01EB" w:rsidRPr="00B16646" w:rsidRDefault="00B16646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ФГАОУ ВО Первый МГМУ им. И.М. Сеченова Минздрава России (Сеченовский Университет)</w:t>
            </w:r>
          </w:p>
        </w:tc>
      </w:tr>
      <w:tr w:rsidR="0007348D" w:rsidRPr="001E3C4E" w14:paraId="6F0F3C2F" w14:textId="77777777" w:rsidTr="009A5E47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540" w:type="dxa"/>
            <w:shd w:val="clear" w:color="auto" w:fill="auto"/>
            <w:noWrap/>
          </w:tcPr>
          <w:p w14:paraId="6972AACC" w14:textId="2E1B9C47" w:rsidR="00AD01EB" w:rsidRPr="00B16646" w:rsidRDefault="00B16646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lang w:val="en-US"/>
              </w:rPr>
              <w:t>B1</w:t>
            </w:r>
          </w:p>
        </w:tc>
      </w:tr>
      <w:tr w:rsidR="0007348D" w:rsidRPr="001E3C4E" w14:paraId="134B7FE0" w14:textId="77777777" w:rsidTr="009A5E47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1E3C4E" w:rsidRDefault="005C5748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1E3C4E">
              <w:rPr>
                <w:color w:val="000000"/>
              </w:rPr>
              <w:t>, на котор</w:t>
            </w:r>
            <w:r w:rsidR="008971A2" w:rsidRPr="001E3C4E">
              <w:rPr>
                <w:color w:val="000000"/>
              </w:rPr>
              <w:t>ую</w:t>
            </w:r>
            <w:r w:rsidR="005A0E05" w:rsidRPr="001E3C4E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540" w:type="dxa"/>
            <w:shd w:val="clear" w:color="auto" w:fill="auto"/>
            <w:noWrap/>
          </w:tcPr>
          <w:p w14:paraId="2483B6F6" w14:textId="4127400B" w:rsidR="00AD01EB" w:rsidRPr="001E3C4E" w:rsidRDefault="005C5748" w:rsidP="008971A2">
            <w:pPr>
              <w:spacing w:after="0"/>
              <w:jc w:val="left"/>
              <w:rPr>
                <w:i/>
              </w:rPr>
            </w:pPr>
            <w:r w:rsidRPr="001E3C4E">
              <w:rPr>
                <w:i/>
              </w:rPr>
              <w:t>31.06.01 Клиническая медицина (н</w:t>
            </w:r>
            <w:r w:rsidRPr="001E3C4E">
              <w:rPr>
                <w:i/>
                <w:color w:val="000000"/>
              </w:rPr>
              <w:t>аправление подготовки)</w:t>
            </w:r>
          </w:p>
          <w:p w14:paraId="1D3B9EE5" w14:textId="69647E1F" w:rsidR="005C5748" w:rsidRPr="001E3C4E" w:rsidRDefault="005C5748" w:rsidP="008971A2">
            <w:pPr>
              <w:spacing w:after="0"/>
              <w:jc w:val="left"/>
              <w:rPr>
                <w:color w:val="000000"/>
              </w:rPr>
            </w:pPr>
            <w:r w:rsidRPr="001E3C4E">
              <w:rPr>
                <w:i/>
              </w:rPr>
              <w:t>3.</w:t>
            </w:r>
            <w:r w:rsidR="00DE6C0C">
              <w:rPr>
                <w:i/>
              </w:rPr>
              <w:t>0</w:t>
            </w:r>
            <w:r w:rsidRPr="001E3C4E">
              <w:rPr>
                <w:i/>
              </w:rPr>
              <w:t>1.</w:t>
            </w:r>
            <w:r w:rsidR="00DE6C0C">
              <w:rPr>
                <w:i/>
              </w:rPr>
              <w:t>Анатомия и морфология.Патология</w:t>
            </w:r>
            <w:r w:rsidRPr="001E3C4E">
              <w:rPr>
                <w:i/>
                <w:color w:val="000000"/>
              </w:rPr>
              <w:t xml:space="preserve"> (профиль образовательной программы)</w:t>
            </w:r>
          </w:p>
        </w:tc>
      </w:tr>
      <w:tr w:rsidR="00B572F5" w:rsidRPr="001E3C4E" w14:paraId="476754AC" w14:textId="77777777" w:rsidTr="009A5E47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1E3C4E" w:rsidRDefault="00B572F5" w:rsidP="0007348D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540" w:type="dxa"/>
            <w:shd w:val="clear" w:color="auto" w:fill="auto"/>
            <w:noWrap/>
          </w:tcPr>
          <w:p w14:paraId="65D21472" w14:textId="2CEE2996" w:rsidR="00B572F5" w:rsidRPr="00DF5837" w:rsidRDefault="00DF5837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Морфология полиорганной патологии при </w:t>
            </w:r>
            <w:r>
              <w:rPr>
                <w:color w:val="000000"/>
                <w:lang w:val="en-US"/>
              </w:rPr>
              <w:t>COVID</w:t>
            </w:r>
            <w:r w:rsidRPr="00DF5837">
              <w:rPr>
                <w:color w:val="000000"/>
              </w:rPr>
              <w:t>-19</w:t>
            </w:r>
            <w:r>
              <w:rPr>
                <w:color w:val="000000"/>
              </w:rPr>
              <w:t xml:space="preserve"> и постковидносм синдроме</w:t>
            </w:r>
            <w:r w:rsidRPr="00DF5837">
              <w:rPr>
                <w:color w:val="000000"/>
              </w:rPr>
              <w:t xml:space="preserve"> </w:t>
            </w:r>
          </w:p>
        </w:tc>
      </w:tr>
      <w:tr w:rsidR="0007348D" w:rsidRPr="001E3C4E" w14:paraId="35C2F14C" w14:textId="77777777" w:rsidTr="009A5E47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383611" w:rsidRPr="00C55CAC" w:rsidRDefault="00383611" w:rsidP="0007348D">
            <w:pPr>
              <w:spacing w:after="0"/>
              <w:jc w:val="left"/>
            </w:pPr>
            <w:r w:rsidRPr="00C55CAC">
              <w:t xml:space="preserve">Перечень предлагаемых соискателям тем </w:t>
            </w:r>
            <w:r w:rsidR="00C55CAC" w:rsidRPr="00C55CAC">
              <w:t>для исследовательской работы</w:t>
            </w:r>
          </w:p>
        </w:tc>
        <w:tc>
          <w:tcPr>
            <w:tcW w:w="6540" w:type="dxa"/>
            <w:shd w:val="clear" w:color="auto" w:fill="auto"/>
            <w:noWrap/>
          </w:tcPr>
          <w:p w14:paraId="5728D3C7" w14:textId="68B7C8A4" w:rsidR="0007348D" w:rsidRPr="00C55CAC" w:rsidRDefault="00383611" w:rsidP="00383611">
            <w:pPr>
              <w:spacing w:after="0"/>
              <w:rPr>
                <w:color w:val="000000"/>
              </w:rPr>
            </w:pPr>
            <w:r w:rsidRPr="00C55CAC">
              <w:rPr>
                <w:color w:val="000000"/>
              </w:rPr>
              <w:t>Список из 7-10 тем, которые потенциальный научный руководитель предлагает</w:t>
            </w:r>
            <w:r w:rsidR="00C55CAC" w:rsidRPr="00C55CAC">
              <w:rPr>
                <w:color w:val="000000"/>
              </w:rPr>
              <w:t xml:space="preserve"> рассмотреть</w:t>
            </w:r>
            <w:r w:rsidRPr="00C55CAC">
              <w:rPr>
                <w:color w:val="000000"/>
              </w:rPr>
              <w:t xml:space="preserve"> иностранным аспирантам</w:t>
            </w:r>
          </w:p>
          <w:p w14:paraId="7F1586E0" w14:textId="77777777" w:rsidR="00383611" w:rsidRDefault="00C55CAC" w:rsidP="003A0C7D">
            <w:pPr>
              <w:spacing w:after="0"/>
              <w:rPr>
                <w:color w:val="000000"/>
              </w:rPr>
            </w:pPr>
            <w:r w:rsidRPr="00C55CAC">
              <w:rPr>
                <w:color w:val="000000"/>
              </w:rPr>
              <w:t>(</w:t>
            </w:r>
            <w:r w:rsidR="003A0C7D" w:rsidRPr="00C55CAC">
              <w:rPr>
                <w:color w:val="000000"/>
              </w:rPr>
              <w:t>В ходе собеседования</w:t>
            </w:r>
            <w:r w:rsidR="00383611" w:rsidRPr="00C55CAC">
              <w:rPr>
                <w:color w:val="000000"/>
              </w:rPr>
              <w:t xml:space="preserve"> тема может быть скорректирована или полностью сформулирована в соответствии с научными интересами соискателя</w:t>
            </w:r>
            <w:r w:rsidRPr="00C55CAC">
              <w:rPr>
                <w:color w:val="000000"/>
              </w:rPr>
              <w:t>)</w:t>
            </w:r>
          </w:p>
          <w:p w14:paraId="041DAFC3" w14:textId="77777777" w:rsidR="00DE6C0C" w:rsidRDefault="00DE6C0C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1.Молекурно-биологические и морфологические особенности патологии легких при </w:t>
            </w:r>
            <w:r>
              <w:rPr>
                <w:color w:val="000000"/>
                <w:lang w:val="en-US"/>
              </w:rPr>
              <w:t>COVID</w:t>
            </w:r>
            <w:r w:rsidRPr="00DE6C0C">
              <w:rPr>
                <w:color w:val="000000"/>
              </w:rPr>
              <w:t>-19</w:t>
            </w:r>
          </w:p>
          <w:p w14:paraId="3905B52F" w14:textId="014B0893" w:rsidR="00DE6C0C" w:rsidRDefault="00DE6C0C" w:rsidP="00DE6C0C">
            <w:pPr>
              <w:spacing w:after="0"/>
              <w:rPr>
                <w:color w:val="000000"/>
              </w:rPr>
            </w:pPr>
            <w:r w:rsidRPr="00DE6C0C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Молекурно-биологические и морфологические особенности патологии при </w:t>
            </w:r>
            <w:r>
              <w:rPr>
                <w:color w:val="000000"/>
                <w:lang w:val="en-US"/>
              </w:rPr>
              <w:t>COVID</w:t>
            </w:r>
            <w:r w:rsidRPr="00DE6C0C">
              <w:rPr>
                <w:color w:val="000000"/>
              </w:rPr>
              <w:t>-19</w:t>
            </w:r>
          </w:p>
          <w:p w14:paraId="4D72DB8A" w14:textId="5D2EA30B" w:rsidR="00DE6C0C" w:rsidRDefault="00DE6C0C" w:rsidP="00DE6C0C">
            <w:pPr>
              <w:spacing w:after="0"/>
              <w:rPr>
                <w:color w:val="000000"/>
              </w:rPr>
            </w:pPr>
            <w:r w:rsidRPr="00DE6C0C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Молекурно-биологические и морфологические особенности патологии почек при </w:t>
            </w:r>
            <w:r>
              <w:rPr>
                <w:color w:val="000000"/>
                <w:lang w:val="en-US"/>
              </w:rPr>
              <w:t>COVID</w:t>
            </w:r>
            <w:r w:rsidRPr="00DE6C0C">
              <w:rPr>
                <w:color w:val="000000"/>
              </w:rPr>
              <w:t>-19</w:t>
            </w:r>
          </w:p>
          <w:p w14:paraId="486B68DB" w14:textId="573F01D0" w:rsidR="00DE6C0C" w:rsidRDefault="00DE6C0C" w:rsidP="00DE6C0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4. Молекурно-биологические и морфологические особенности патологии кожи при </w:t>
            </w:r>
            <w:r>
              <w:rPr>
                <w:color w:val="000000"/>
                <w:lang w:val="en-US"/>
              </w:rPr>
              <w:t>COVID</w:t>
            </w:r>
            <w:r w:rsidRPr="00DE6C0C">
              <w:rPr>
                <w:color w:val="000000"/>
              </w:rPr>
              <w:t>-19</w:t>
            </w:r>
          </w:p>
          <w:p w14:paraId="3350F1E3" w14:textId="4791C7F1" w:rsidR="00DE6C0C" w:rsidRDefault="00DE6C0C" w:rsidP="00DE6C0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5. Молекурно-биологические и морфологические особенности патологии эндоментия при </w:t>
            </w:r>
            <w:r>
              <w:rPr>
                <w:color w:val="000000"/>
                <w:lang w:val="en-US"/>
              </w:rPr>
              <w:t>COVID</w:t>
            </w:r>
            <w:r w:rsidRPr="00DE6C0C">
              <w:rPr>
                <w:color w:val="000000"/>
              </w:rPr>
              <w:t>-19</w:t>
            </w:r>
          </w:p>
          <w:p w14:paraId="59B9282D" w14:textId="307A0A5E" w:rsidR="00DE6C0C" w:rsidRDefault="00DE6C0C" w:rsidP="00DE6C0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6. Молекурно-биологические и морфологические особенности патологии семенников при </w:t>
            </w:r>
            <w:r>
              <w:rPr>
                <w:color w:val="000000"/>
                <w:lang w:val="en-US"/>
              </w:rPr>
              <w:t>COVID</w:t>
            </w:r>
            <w:r w:rsidRPr="00DE6C0C">
              <w:rPr>
                <w:color w:val="000000"/>
              </w:rPr>
              <w:t>-19</w:t>
            </w:r>
          </w:p>
          <w:p w14:paraId="47F864FA" w14:textId="31F86205" w:rsidR="00DE6C0C" w:rsidRDefault="00DE6C0C" w:rsidP="00DE6C0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7. Молекурно-биологические и морфологические особенности патологии сердца  при постковидном синдроме</w:t>
            </w:r>
          </w:p>
          <w:p w14:paraId="4CC13015" w14:textId="5BA26695" w:rsidR="00DE6C0C" w:rsidRDefault="00DE6C0C" w:rsidP="00DE6C0C">
            <w:pPr>
              <w:spacing w:after="0"/>
              <w:rPr>
                <w:color w:val="000000"/>
              </w:rPr>
            </w:pPr>
          </w:p>
          <w:p w14:paraId="44CB0531" w14:textId="4A5D0E94" w:rsidR="00DE6C0C" w:rsidRPr="00DE6C0C" w:rsidRDefault="00DE6C0C" w:rsidP="00DE6C0C">
            <w:pPr>
              <w:spacing w:after="0"/>
              <w:rPr>
                <w:color w:val="000000"/>
              </w:rPr>
            </w:pPr>
          </w:p>
          <w:p w14:paraId="03538286" w14:textId="2B04A46B" w:rsidR="00DE6C0C" w:rsidRPr="00DE6C0C" w:rsidRDefault="00DE6C0C" w:rsidP="003A0C7D">
            <w:pPr>
              <w:spacing w:after="0"/>
              <w:rPr>
                <w:color w:val="000000"/>
              </w:rPr>
            </w:pPr>
          </w:p>
        </w:tc>
      </w:tr>
      <w:tr w:rsidR="008971A2" w:rsidRPr="001E3C4E" w14:paraId="1EA90AC9" w14:textId="77777777" w:rsidTr="009A5E47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6B2B2BDF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8E996" wp14:editId="5585E759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62BFC580" w:rsidR="008971A2" w:rsidRPr="006213A0" w:rsidRDefault="00233637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8458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08AD1E" wp14:editId="51E64E22">
                                        <wp:extent cx="1282700" cy="1568450"/>
                                        <wp:effectExtent l="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0" cy="156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971A2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" filled="f" strokecolor="black [3213]" strokeweight="2.25pt">
                      <v:textbox>
                        <w:txbxContent>
                          <w:p w14:paraId="5588E4F1" w14:textId="62BFC580" w:rsidR="008971A2" w:rsidRPr="006213A0" w:rsidRDefault="00233637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4581">
                              <w:rPr>
                                <w:noProof/>
                              </w:rPr>
                              <w:drawing>
                                <wp:inline distT="0" distB="0" distL="0" distR="0" wp14:anchorId="7208AD1E" wp14:editId="51E64E22">
                                  <wp:extent cx="1282700" cy="156845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1A2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723F021F" w14:textId="77777777" w:rsidR="008971A2" w:rsidRPr="001E3C4E" w:rsidRDefault="008971A2" w:rsidP="008971A2"/>
          <w:p w14:paraId="7641569F" w14:textId="74BE551B" w:rsidR="008971A2" w:rsidRPr="001E3C4E" w:rsidRDefault="00B60CF3" w:rsidP="008971A2">
            <w:r>
              <w:t>Н</w:t>
            </w:r>
            <w:r w:rsidR="007501B2" w:rsidRPr="001E3C4E">
              <w:t>аучный руководитель</w:t>
            </w:r>
            <w:r w:rsidR="008971A2" w:rsidRPr="001E3C4E">
              <w:t>:</w:t>
            </w:r>
          </w:p>
          <w:p w14:paraId="43A4F93D" w14:textId="59FA0D10" w:rsidR="008971A2" w:rsidRPr="001E3C4E" w:rsidRDefault="002917C4" w:rsidP="008971A2">
            <w:r>
              <w:t>Коган Евгения Алтаровна</w:t>
            </w:r>
            <w:r w:rsidR="008971A2" w:rsidRPr="001E3C4E">
              <w:t>,</w:t>
            </w:r>
          </w:p>
          <w:p w14:paraId="10ECEB04" w14:textId="77777777" w:rsidR="008971A2" w:rsidRDefault="007501B2" w:rsidP="008971A2">
            <w:r w:rsidRPr="001E3C4E">
              <w:t>Доктор</w:t>
            </w:r>
            <w:r w:rsidR="002917C4">
              <w:t xml:space="preserve"> медицинских наук</w:t>
            </w:r>
          </w:p>
          <w:p w14:paraId="2AFA6D28" w14:textId="7DDF3BA9" w:rsidR="002917C4" w:rsidRPr="001E3C4E" w:rsidRDefault="002917C4" w:rsidP="008971A2">
            <w:r>
              <w:t>Сеченовский Университет</w:t>
            </w:r>
          </w:p>
        </w:tc>
        <w:tc>
          <w:tcPr>
            <w:tcW w:w="6540" w:type="dxa"/>
            <w:shd w:val="clear" w:color="auto" w:fill="auto"/>
            <w:noWrap/>
          </w:tcPr>
          <w:p w14:paraId="2EEB9467" w14:textId="084A318E" w:rsidR="008971A2" w:rsidRPr="00DE6C0C" w:rsidRDefault="008971A2" w:rsidP="008971A2">
            <w:pPr>
              <w:spacing w:after="0"/>
              <w:jc w:val="center"/>
              <w:rPr>
                <w:i/>
                <w:color w:val="000000"/>
              </w:rPr>
            </w:pPr>
            <w:r w:rsidRPr="001E3C4E">
              <w:rPr>
                <w:i/>
                <w:color w:val="000000"/>
              </w:rPr>
              <w:t xml:space="preserve">Заголовок </w:t>
            </w:r>
            <w:r w:rsidR="00DE6C0C">
              <w:rPr>
                <w:i/>
                <w:color w:val="000000"/>
              </w:rPr>
              <w:t xml:space="preserve"> Морфология полииорганной патологии при </w:t>
            </w:r>
            <w:r w:rsidR="00DE6C0C">
              <w:rPr>
                <w:i/>
                <w:color w:val="000000"/>
                <w:lang w:val="en-US"/>
              </w:rPr>
              <w:t>COVID</w:t>
            </w:r>
            <w:r w:rsidR="00DE6C0C" w:rsidRPr="00DE6C0C">
              <w:rPr>
                <w:i/>
                <w:color w:val="000000"/>
              </w:rPr>
              <w:t xml:space="preserve">-19 </w:t>
            </w:r>
            <w:r w:rsidR="00DE6C0C">
              <w:rPr>
                <w:i/>
                <w:color w:val="000000"/>
              </w:rPr>
              <w:t>и постковидном синдроме</w:t>
            </w:r>
          </w:p>
        </w:tc>
      </w:tr>
      <w:tr w:rsidR="008971A2" w:rsidRPr="001E3C4E" w14:paraId="22B82E99" w14:textId="77777777" w:rsidTr="009A5E47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540" w:type="dxa"/>
            <w:shd w:val="clear" w:color="auto" w:fill="auto"/>
            <w:noWrap/>
            <w:hideMark/>
          </w:tcPr>
          <w:p w14:paraId="00775A37" w14:textId="36789503" w:rsidR="00334CF9" w:rsidRPr="001E3C4E" w:rsidRDefault="00334CF9" w:rsidP="00334CF9">
            <w:pPr>
              <w:spacing w:after="0"/>
            </w:pPr>
            <w:r w:rsidRPr="001E3C4E">
              <w:rPr>
                <w:color w:val="000000"/>
              </w:rPr>
              <w:t>Научные интересы</w:t>
            </w:r>
          </w:p>
          <w:p w14:paraId="55471331" w14:textId="3CE8A1B0" w:rsidR="00334CF9" w:rsidRPr="001E3C4E" w:rsidRDefault="00DE6C0C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Изучить клинико-морфологические и молекулярно-биологические ососбенности полиорганной патологии  </w:t>
            </w:r>
            <w:r w:rsidR="000C443D">
              <w:rPr>
                <w:i/>
                <w:color w:val="000000"/>
              </w:rPr>
              <w:t xml:space="preserve">при </w:t>
            </w:r>
            <w:r w:rsidR="000C443D">
              <w:rPr>
                <w:i/>
                <w:color w:val="000000"/>
                <w:lang w:val="en-US"/>
              </w:rPr>
              <w:t>COVID</w:t>
            </w:r>
            <w:r w:rsidR="000C443D" w:rsidRPr="00DE6C0C">
              <w:rPr>
                <w:i/>
                <w:color w:val="000000"/>
              </w:rPr>
              <w:t xml:space="preserve">-19 </w:t>
            </w:r>
            <w:r w:rsidR="000C443D">
              <w:rPr>
                <w:i/>
                <w:color w:val="000000"/>
              </w:rPr>
              <w:t>и постковидном синдроме</w:t>
            </w:r>
          </w:p>
        </w:tc>
      </w:tr>
      <w:tr w:rsidR="008971A2" w:rsidRPr="001E3C4E" w14:paraId="65D077B3" w14:textId="77777777" w:rsidTr="009A5E47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540" w:type="dxa"/>
            <w:shd w:val="clear" w:color="auto" w:fill="auto"/>
            <w:noWrap/>
            <w:hideMark/>
          </w:tcPr>
          <w:p w14:paraId="4F842B9A" w14:textId="5C653999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Особенности исследования </w:t>
            </w:r>
            <w:r w:rsidR="000C443D">
              <w:rPr>
                <w:color w:val="000000"/>
              </w:rPr>
              <w:t xml:space="preserve"> будет проводиться на аутопсийном и биопсийном материале</w:t>
            </w:r>
          </w:p>
          <w:p w14:paraId="67F96625" w14:textId="6B4CDE3C" w:rsidR="008971A2" w:rsidRPr="001E3C4E" w:rsidRDefault="000C443D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8971A2" w:rsidRPr="001E3C4E">
              <w:rPr>
                <w:i/>
                <w:iCs/>
              </w:rPr>
              <w:t>тличительные особенности данной программы, которые бы выделяли её перед остальными</w:t>
            </w:r>
            <w:r>
              <w:rPr>
                <w:i/>
                <w:iCs/>
              </w:rPr>
              <w:t xml:space="preserve"> связаны с уникальным морфологическим материалом и оборудованием. </w:t>
            </w:r>
          </w:p>
        </w:tc>
      </w:tr>
      <w:tr w:rsidR="008971A2" w:rsidRPr="001E3C4E" w14:paraId="11BB8244" w14:textId="77777777" w:rsidTr="009A5E47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540" w:type="dxa"/>
            <w:shd w:val="clear" w:color="auto" w:fill="auto"/>
            <w:noWrap/>
            <w:hideMark/>
          </w:tcPr>
          <w:p w14:paraId="02456C2C" w14:textId="5BB38F62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4E1188D7" w14:textId="6B43DD4C" w:rsidR="008971A2" w:rsidRPr="001E3C4E" w:rsidRDefault="008971A2" w:rsidP="009932FE">
            <w:pPr>
              <w:spacing w:after="0"/>
              <w:rPr>
                <w:i/>
                <w:iCs/>
              </w:rPr>
            </w:pPr>
            <w:r w:rsidRPr="001E3C4E">
              <w:rPr>
                <w:i/>
                <w:iCs/>
              </w:rPr>
              <w:t>Раздел заполняется при наличии требований, предъявляемых к аспиранту</w:t>
            </w:r>
            <w:r w:rsidR="000C443D">
              <w:rPr>
                <w:i/>
                <w:iCs/>
              </w:rPr>
              <w:t xml:space="preserve">: </w:t>
            </w:r>
            <w:r w:rsidRPr="001E3C4E">
              <w:rPr>
                <w:i/>
                <w:iCs/>
              </w:rPr>
              <w:t xml:space="preserve">обязательный бэкграунд кандидата/дисциплины, которые он обязательно должен был освоить/ </w:t>
            </w:r>
            <w:r w:rsidR="000C443D">
              <w:rPr>
                <w:i/>
                <w:iCs/>
              </w:rPr>
              <w:t xml:space="preserve">морфологическеи и молекулярно-биологическкие </w:t>
            </w:r>
            <w:r w:rsidRPr="001E3C4E">
              <w:rPr>
                <w:i/>
                <w:iCs/>
              </w:rPr>
              <w:t xml:space="preserve">методы, которыми он должен владеть/ уметь </w:t>
            </w:r>
            <w:r w:rsidR="000C443D">
              <w:rPr>
                <w:i/>
                <w:iCs/>
              </w:rPr>
              <w:t>проводить аутопсийную работу и анализировать биопсии на основе знаний патологической анатомии.</w:t>
            </w:r>
          </w:p>
        </w:tc>
      </w:tr>
      <w:tr w:rsidR="009A5E47" w:rsidRPr="001E3C4E" w14:paraId="4AF5A1C4" w14:textId="77777777" w:rsidTr="009A5E47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9A5E47" w:rsidRPr="001E3C4E" w:rsidRDefault="009A5E47" w:rsidP="009A5E47">
            <w:pPr>
              <w:spacing w:after="0"/>
              <w:rPr>
                <w:color w:val="000000"/>
              </w:rPr>
            </w:pPr>
          </w:p>
        </w:tc>
        <w:tc>
          <w:tcPr>
            <w:tcW w:w="6540" w:type="dxa"/>
            <w:shd w:val="clear" w:color="auto" w:fill="auto"/>
            <w:noWrap/>
          </w:tcPr>
          <w:p w14:paraId="3066F53B" w14:textId="77777777" w:rsidR="009A5E47" w:rsidRPr="009A5E47" w:rsidRDefault="009A5E47" w:rsidP="009A5E47">
            <w:pPr>
              <w:spacing w:after="0"/>
              <w:ind w:left="309"/>
              <w:rPr>
                <w:color w:val="000000"/>
              </w:rPr>
            </w:pPr>
            <w:r w:rsidRPr="009A5E47">
              <w:t>Основные публикации научного руководителя</w:t>
            </w:r>
            <w:r w:rsidRPr="009A5E47">
              <w:rPr>
                <w:color w:val="000000"/>
              </w:rPr>
              <w:t>:</w:t>
            </w:r>
            <w:r w:rsidRPr="009A5E47">
              <w:rPr>
                <w:i/>
                <w:iCs/>
              </w:rPr>
              <w:t xml:space="preserve"> </w:t>
            </w:r>
          </w:p>
          <w:p w14:paraId="78DA9DD0" w14:textId="77777777" w:rsidR="009A5E47" w:rsidRPr="009A5E47" w:rsidRDefault="009A5E47" w:rsidP="009A5E47">
            <w:pPr>
              <w:autoSpaceDE w:val="0"/>
              <w:autoSpaceDN w:val="0"/>
              <w:adjustRightInd w:val="0"/>
              <w:spacing w:after="200" w:line="276" w:lineRule="auto"/>
              <w:ind w:left="309"/>
              <w:rPr>
                <w:lang w:val="en"/>
              </w:rPr>
            </w:pPr>
            <w:r w:rsidRPr="009A5E47">
              <w:t>1</w:t>
            </w:r>
            <w:r w:rsidRPr="009A5E47">
              <w:rPr>
                <w:lang w:val="en-US"/>
              </w:rPr>
              <w:t>Kogan</w:t>
            </w:r>
            <w:r w:rsidRPr="009A5E47">
              <w:t xml:space="preserve">, </w:t>
            </w:r>
            <w:r w:rsidRPr="009A5E47">
              <w:rPr>
                <w:lang w:val="en-US"/>
              </w:rPr>
              <w:t>E</w:t>
            </w:r>
            <w:r w:rsidRPr="009A5E47">
              <w:t>.</w:t>
            </w:r>
            <w:r w:rsidRPr="009A5E47">
              <w:rPr>
                <w:lang w:val="en-US"/>
              </w:rPr>
              <w:t>A</w:t>
            </w:r>
            <w:r w:rsidRPr="009A5E47">
              <w:t xml:space="preserve">., </w:t>
            </w:r>
            <w:r w:rsidRPr="009A5E47">
              <w:rPr>
                <w:lang w:val="en-US"/>
              </w:rPr>
              <w:t>Blagova</w:t>
            </w:r>
            <w:r w:rsidRPr="009A5E47">
              <w:t xml:space="preserve">, </w:t>
            </w:r>
            <w:r w:rsidRPr="009A5E47">
              <w:rPr>
                <w:lang w:val="en-US"/>
              </w:rPr>
              <w:t>O</w:t>
            </w:r>
            <w:r w:rsidRPr="009A5E47">
              <w:t>.</w:t>
            </w:r>
            <w:r w:rsidRPr="009A5E47">
              <w:rPr>
                <w:lang w:val="en-US"/>
              </w:rPr>
              <w:t>V</w:t>
            </w:r>
            <w:r w:rsidRPr="009A5E47">
              <w:t>.</w:t>
            </w:r>
            <w:r w:rsidRPr="009A5E47">
              <w:rPr>
                <w:lang w:val="en-US"/>
              </w:rPr>
              <w:t>Email</w:t>
            </w:r>
            <w:r w:rsidRPr="009A5E47">
              <w:t xml:space="preserve"> </w:t>
            </w:r>
            <w:r w:rsidRPr="009A5E47">
              <w:rPr>
                <w:lang w:val="en-US"/>
              </w:rPr>
              <w:t>Author</w:t>
            </w:r>
            <w:r w:rsidRPr="009A5E47">
              <w:t xml:space="preserve">, </w:t>
            </w:r>
            <w:r w:rsidRPr="009A5E47">
              <w:rPr>
                <w:lang w:val="en-US"/>
              </w:rPr>
              <w:t>Faizullina</w:t>
            </w:r>
            <w:r w:rsidRPr="009A5E47">
              <w:t xml:space="preserve">, </w:t>
            </w:r>
            <w:r w:rsidRPr="009A5E47">
              <w:rPr>
                <w:lang w:val="en-US"/>
              </w:rPr>
              <w:t>N</w:t>
            </w:r>
            <w:r w:rsidRPr="009A5E47">
              <w:t>.</w:t>
            </w:r>
            <w:r w:rsidRPr="009A5E47">
              <w:rPr>
                <w:lang w:val="en-US"/>
              </w:rPr>
              <w:t>M</w:t>
            </w:r>
            <w:r w:rsidRPr="009A5E47">
              <w:t xml:space="preserve">., </w:t>
            </w:r>
            <w:r w:rsidRPr="009A5E47">
              <w:rPr>
                <w:lang w:val="en-US"/>
              </w:rPr>
              <w:t>Nedostup</w:t>
            </w:r>
            <w:r w:rsidRPr="009A5E47">
              <w:t xml:space="preserve">, </w:t>
            </w:r>
            <w:r w:rsidRPr="009A5E47">
              <w:rPr>
                <w:lang w:val="en-US"/>
              </w:rPr>
              <w:t>A</w:t>
            </w:r>
            <w:r w:rsidRPr="009A5E47">
              <w:t>.</w:t>
            </w:r>
            <w:r w:rsidRPr="009A5E47">
              <w:rPr>
                <w:lang w:val="en-US"/>
              </w:rPr>
              <w:t>V</w:t>
            </w:r>
            <w:r w:rsidRPr="009A5E47">
              <w:t xml:space="preserve">., </w:t>
            </w:r>
            <w:r w:rsidRPr="009A5E47">
              <w:rPr>
                <w:lang w:val="en-US"/>
              </w:rPr>
              <w:t>Sulimov</w:t>
            </w:r>
            <w:r w:rsidRPr="009A5E47">
              <w:t xml:space="preserve">, </w:t>
            </w:r>
            <w:r w:rsidRPr="009A5E47">
              <w:rPr>
                <w:lang w:val="en-US"/>
              </w:rPr>
              <w:t>V</w:t>
            </w:r>
            <w:r w:rsidRPr="009A5E47">
              <w:t>.</w:t>
            </w:r>
            <w:r w:rsidRPr="009A5E47">
              <w:rPr>
                <w:lang w:val="en-US"/>
              </w:rPr>
              <w:t>A</w:t>
            </w:r>
            <w:r w:rsidRPr="009A5E47">
              <w:t xml:space="preserve">.. </w:t>
            </w:r>
            <w:r w:rsidRPr="009A5E47">
              <w:rPr>
                <w:lang w:val="en"/>
              </w:rPr>
              <w:t>Increased myocardial expression of Toll-like receptors 2 and 9 as a marker of active myocarditis and a possible predictor of therapeutic effectiveness(Article)//Arkhiv Patologii. Volume 80, Issue 1, 1 January 2018, Pages 11-20. DOI: 10.17116/patol201880111-20.</w:t>
            </w:r>
          </w:p>
          <w:p w14:paraId="75E53C68" w14:textId="77777777" w:rsidR="009A5E47" w:rsidRPr="009A5E47" w:rsidRDefault="009A5E47" w:rsidP="009A5E47">
            <w:pPr>
              <w:autoSpaceDE w:val="0"/>
              <w:autoSpaceDN w:val="0"/>
              <w:adjustRightInd w:val="0"/>
              <w:spacing w:after="200" w:line="276" w:lineRule="auto"/>
              <w:ind w:left="309"/>
              <w:rPr>
                <w:lang w:val="en"/>
              </w:rPr>
            </w:pPr>
            <w:r w:rsidRPr="009A5E47">
              <w:rPr>
                <w:lang w:val="en"/>
              </w:rPr>
              <w:t xml:space="preserve">2.Kogan, </w:t>
            </w:r>
            <w:r w:rsidRPr="009A5E47">
              <w:t>Е</w:t>
            </w:r>
            <w:r w:rsidRPr="009A5E47">
              <w:rPr>
                <w:lang w:val="en"/>
              </w:rPr>
              <w:t>.</w:t>
            </w:r>
            <w:r w:rsidRPr="009A5E47">
              <w:t>А</w:t>
            </w:r>
            <w:r w:rsidRPr="009A5E47">
              <w:rPr>
                <w:lang w:val="en"/>
              </w:rPr>
              <w:t>., Rudenko, E.</w:t>
            </w:r>
            <w:r w:rsidRPr="009A5E47">
              <w:t>Е</w:t>
            </w:r>
            <w:r w:rsidRPr="009A5E47">
              <w:rPr>
                <w:lang w:val="en"/>
              </w:rPr>
              <w:t>.Email Author, Demura, T.</w:t>
            </w:r>
            <w:r w:rsidRPr="009A5E47">
              <w:t>А</w:t>
            </w:r>
            <w:r w:rsidRPr="009A5E47">
              <w:rPr>
                <w:lang w:val="en"/>
              </w:rPr>
              <w:t>., Zharkov, N.V., Trifonova, N.S., Zhukova, E.V., Aleksandrov, L.S., Bayanova, S.N.</w:t>
            </w:r>
            <w:r w:rsidRPr="009A5E47">
              <w:rPr>
                <w:lang w:val="en-US"/>
              </w:rPr>
              <w:t>. Structural, immunohistochemical and molecular features of placentas and placental sites after in vitro fertilization with donor eggs (surrogate motherhood)//European Journal of Obstetrics and Gynecology and Reproductive Biology.Volume 238, July 2019, Pages 68-72.DOI: 10.1016/j.ejogrb.2019.05.006.</w:t>
            </w:r>
          </w:p>
          <w:p w14:paraId="764B47C1" w14:textId="77777777" w:rsidR="009A5E47" w:rsidRPr="009A5E47" w:rsidRDefault="009A5E47" w:rsidP="009A5E47">
            <w:pPr>
              <w:autoSpaceDE w:val="0"/>
              <w:autoSpaceDN w:val="0"/>
              <w:adjustRightInd w:val="0"/>
              <w:spacing w:after="200" w:line="276" w:lineRule="auto"/>
              <w:ind w:left="309"/>
              <w:rPr>
                <w:lang w:val="en-US"/>
              </w:rPr>
            </w:pPr>
            <w:r w:rsidRPr="009A5E47">
              <w:rPr>
                <w:lang w:val="en-US"/>
              </w:rPr>
              <w:t xml:space="preserve">    3.Blagova, O.Email Author, Osipova, Y., Nedostup, A., Kogan, E., Zaitsev, A., Fomin, V.. Diagnostic value of different noninvasive criteria of latent myocarditis in comparison with myocardial biopsy//Cardiology (Switzerland). Volume 142, Issue 3, 1 July 2019, Pages 167-174. DOI: 10.1159/000499865.</w:t>
            </w:r>
          </w:p>
          <w:p w14:paraId="410CBF8F" w14:textId="77777777" w:rsidR="009A5E47" w:rsidRPr="009A5E47" w:rsidRDefault="009A5E47" w:rsidP="009A5E47">
            <w:pPr>
              <w:autoSpaceDE w:val="0"/>
              <w:autoSpaceDN w:val="0"/>
              <w:adjustRightInd w:val="0"/>
              <w:spacing w:after="200" w:line="276" w:lineRule="auto"/>
              <w:ind w:left="309"/>
              <w:rPr>
                <w:lang w:val="en-US"/>
              </w:rPr>
            </w:pPr>
            <w:r w:rsidRPr="009A5E47">
              <w:rPr>
                <w:lang w:val="en-US"/>
              </w:rPr>
              <w:t xml:space="preserve">4.Blinova, E., Enikeev, D., Roshchin, D., Samyshina, E., Deryabina, O., Tertychnyy, A., Blinov, D., Kogan, E., Dudina, M., Barakat, H., Merinov, D., Kachmazov, A., Serebrianyi, S., Potoldykova, N., Perepechin, D.. Relapse-free survival and pd-l1 expression in first high-and low-grade relapsed luminal, basal and double-negative p53-mutant non-muscular invasive bladder cancer depending on previous chemo-and immunotherapy//Cancers. Volume 12, Issue 5, May 2020, </w:t>
            </w:r>
            <w:r w:rsidRPr="009A5E47">
              <w:t>Номер</w:t>
            </w:r>
            <w:r w:rsidRPr="009A5E47">
              <w:rPr>
                <w:lang w:val="en-US"/>
              </w:rPr>
              <w:t xml:space="preserve"> </w:t>
            </w:r>
            <w:r w:rsidRPr="009A5E47">
              <w:t>статьи</w:t>
            </w:r>
            <w:r w:rsidRPr="009A5E47">
              <w:rPr>
                <w:lang w:val="en-US"/>
              </w:rPr>
              <w:t xml:space="preserve"> 1316. DOI: 10.3390/cancers12051316.</w:t>
            </w:r>
          </w:p>
          <w:p w14:paraId="211DA1F3" w14:textId="77777777" w:rsidR="009A5E47" w:rsidRPr="009A5E47" w:rsidRDefault="009A5E47" w:rsidP="009A5E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309"/>
              <w:jc w:val="both"/>
              <w:rPr>
                <w:rFonts w:ascii="Times New Roman" w:hAnsi="Times New Roman" w:cs="Times New Roman"/>
              </w:rPr>
            </w:pPr>
            <w:r w:rsidRPr="009A5E47">
              <w:rPr>
                <w:rFonts w:ascii="Times New Roman" w:hAnsi="Times New Roman" w:cs="Times New Roman"/>
                <w:lang w:val="en-US"/>
              </w:rPr>
              <w:t xml:space="preserve">Osmanov, Y.I., Kogan, E.A., Rapoport, L.M, Teodorovich, O.V., Gaibov, J.A.. Markers of stem cells and their prognostic values for urothelial carcinomas of the urinary tract//Urologiia. </w:t>
            </w:r>
            <w:r w:rsidRPr="009A5E47">
              <w:rPr>
                <w:rFonts w:ascii="Times New Roman" w:hAnsi="Times New Roman" w:cs="Times New Roman"/>
              </w:rPr>
              <w:t xml:space="preserve">Volume 2019, </w:t>
            </w:r>
            <w:r w:rsidRPr="009A5E47">
              <w:rPr>
                <w:rFonts w:ascii="Times New Roman" w:hAnsi="Times New Roman" w:cs="Times New Roman"/>
              </w:rPr>
              <w:lastRenderedPageBreak/>
              <w:t>Issue 2, MARCH-APRIL 2019, Pages 40-49</w:t>
            </w:r>
            <w:r w:rsidRPr="009A5E47">
              <w:rPr>
                <w:rFonts w:ascii="Times New Roman" w:hAnsi="Times New Roman" w:cs="Times New Roman"/>
                <w:lang w:val="en-US"/>
              </w:rPr>
              <w:t>.</w:t>
            </w:r>
            <w:r w:rsidRPr="009A5E47">
              <w:rPr>
                <w:rFonts w:ascii="Times New Roman" w:hAnsi="Times New Roman" w:cs="Times New Roman"/>
              </w:rPr>
              <w:t>DOI:10.18565/urology.2019.2.40-49.</w:t>
            </w:r>
          </w:p>
          <w:p w14:paraId="2E4C94CF" w14:textId="07129DC3" w:rsidR="009A5E47" w:rsidRPr="009A5E47" w:rsidRDefault="009A5E47" w:rsidP="009A5E47">
            <w:pPr>
              <w:spacing w:after="0"/>
              <w:ind w:left="309"/>
              <w:rPr>
                <w:i/>
                <w:iCs/>
              </w:rPr>
            </w:pPr>
          </w:p>
        </w:tc>
      </w:tr>
      <w:tr w:rsidR="009A5E47" w:rsidRPr="001E3C4E" w14:paraId="26D5E71A" w14:textId="77777777" w:rsidTr="009A5E47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9A5E47" w:rsidRPr="001E3C4E" w:rsidRDefault="009A5E47" w:rsidP="009A5E47">
            <w:pPr>
              <w:spacing w:after="0"/>
              <w:rPr>
                <w:color w:val="000000"/>
              </w:rPr>
            </w:pPr>
          </w:p>
        </w:tc>
        <w:tc>
          <w:tcPr>
            <w:tcW w:w="6540" w:type="dxa"/>
            <w:shd w:val="clear" w:color="auto" w:fill="auto"/>
            <w:noWrap/>
          </w:tcPr>
          <w:p w14:paraId="4B4C2B59" w14:textId="77777777" w:rsidR="009A5E47" w:rsidRPr="009A5E47" w:rsidRDefault="009A5E47" w:rsidP="009A5E47">
            <w:pPr>
              <w:spacing w:after="0"/>
              <w:rPr>
                <w:color w:val="000000"/>
                <w:lang w:val="en-US"/>
              </w:rPr>
            </w:pPr>
            <w:r w:rsidRPr="009A5E47">
              <w:rPr>
                <w:color w:val="000000"/>
                <w:lang w:val="en-US"/>
              </w:rPr>
              <w:t xml:space="preserve">Results of intellectual activity </w:t>
            </w:r>
            <w:r w:rsidRPr="009A5E47">
              <w:rPr>
                <w:i/>
                <w:color w:val="000000"/>
                <w:lang w:val="en-US"/>
              </w:rPr>
              <w:t>(</w:t>
            </w:r>
            <w:r w:rsidRPr="009A5E47">
              <w:rPr>
                <w:i/>
                <w:color w:val="000000"/>
              </w:rPr>
              <w:t>при</w:t>
            </w:r>
            <w:r w:rsidRPr="009A5E47">
              <w:rPr>
                <w:i/>
                <w:color w:val="000000"/>
                <w:lang w:val="en-US"/>
              </w:rPr>
              <w:t xml:space="preserve"> </w:t>
            </w:r>
            <w:r w:rsidRPr="009A5E47">
              <w:rPr>
                <w:i/>
                <w:color w:val="000000"/>
              </w:rPr>
              <w:t>наличии</w:t>
            </w:r>
            <w:r w:rsidRPr="009A5E47">
              <w:rPr>
                <w:i/>
                <w:color w:val="000000"/>
                <w:lang w:val="en-US"/>
              </w:rPr>
              <w:t>)</w:t>
            </w:r>
          </w:p>
          <w:p w14:paraId="4427DB76" w14:textId="77777777" w:rsidR="009A5E47" w:rsidRPr="009A5E47" w:rsidRDefault="009A5E47" w:rsidP="009A5E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" w:eastAsia="en-US"/>
              </w:rPr>
            </w:pP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 xml:space="preserve">Kogan, E.A., Blagova, O.V.Email Author, Faizullina, N.M., Nedostup, A.V., Sulimov, V.A.. </w:t>
            </w:r>
            <w:r w:rsidRPr="009A5E47">
              <w:rPr>
                <w:rFonts w:eastAsiaTheme="minorHAnsi"/>
                <w:sz w:val="22"/>
                <w:szCs w:val="22"/>
                <w:lang w:val="en" w:eastAsia="en-US"/>
              </w:rPr>
              <w:t>Increased myocardial expression of Toll-like receptors 2 and 9 as a marker of active myocarditis and a possible predictor of therapeutic effectiveness(Article)//Arkhiv Patologii. Volume 80, Issue 1, 1 January 2018, Pages 11-20. DOI: 10.17116/patol201880111-20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481B0772" w14:textId="77777777" w:rsidR="009A5E47" w:rsidRPr="009A5E47" w:rsidRDefault="009A5E47" w:rsidP="009A5E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" w:eastAsia="en-US"/>
              </w:rPr>
            </w:pPr>
            <w:r w:rsidRPr="009A5E47">
              <w:rPr>
                <w:rFonts w:eastAsiaTheme="minorHAnsi"/>
                <w:sz w:val="22"/>
                <w:szCs w:val="22"/>
                <w:lang w:val="en" w:eastAsia="en-US"/>
              </w:rPr>
              <w:t xml:space="preserve">Kogan, 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A5E47">
              <w:rPr>
                <w:rFonts w:eastAsiaTheme="minorHAnsi"/>
                <w:sz w:val="22"/>
                <w:szCs w:val="22"/>
                <w:lang w:val="en" w:eastAsia="en-US"/>
              </w:rPr>
              <w:t>.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A5E47">
              <w:rPr>
                <w:rFonts w:eastAsiaTheme="minorHAnsi"/>
                <w:sz w:val="22"/>
                <w:szCs w:val="22"/>
                <w:lang w:val="en" w:eastAsia="en-US"/>
              </w:rPr>
              <w:t>., Rudenko, E.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A5E47">
              <w:rPr>
                <w:rFonts w:eastAsiaTheme="minorHAnsi"/>
                <w:sz w:val="22"/>
                <w:szCs w:val="22"/>
                <w:lang w:val="en" w:eastAsia="en-US"/>
              </w:rPr>
              <w:t>.Email Author, Demura, T.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A5E47">
              <w:rPr>
                <w:rFonts w:eastAsiaTheme="minorHAnsi"/>
                <w:sz w:val="22"/>
                <w:szCs w:val="22"/>
                <w:lang w:val="en" w:eastAsia="en-US"/>
              </w:rPr>
              <w:t>., Zharkov, N.V., Trifonova, N.S., Zhukova, E.V., Aleksandrov, L.S., Bayanova, S.N.</w:t>
            </w: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>. Structural, immunohistochemical and molecular features of placentas and placental sites after in vitro fertilization with donor eggs (surrogate motherhood)//European Journal of Obstetrics and Gynecology and Reproductive Biology.Volume 238, July 2019, Pages 68-72.DOI: 10.1016/j.ejogrb.2019.05.006.</w:t>
            </w:r>
          </w:p>
          <w:p w14:paraId="4FF9887D" w14:textId="77777777" w:rsidR="009A5E47" w:rsidRPr="009A5E47" w:rsidRDefault="009A5E47" w:rsidP="009A5E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 xml:space="preserve">Blagova, O.Email Author, Osipova, Y., Nedostup, A., Kogan, E., Zaitsev, A., Fomin, V.. Diagnostic value of different noninvasive criteria of latent myocarditis in comparison with myocardial biopsy//Cardiology (Switzerland). 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Volume 142, Issue 3, 1 July 2019, Pages 167-174</w:t>
            </w: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>. DOI: 10.1159/000499865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32F608B7" w14:textId="77777777" w:rsidR="009A5E47" w:rsidRPr="009A5E47" w:rsidRDefault="009A5E47" w:rsidP="009A5E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 xml:space="preserve">Blinova, E., Enikeev, D., Roshchin, D., Samyshina, E., Deryabina, O., Tertychnyy, A., Blinov, D., Kogan, E., Dudina, M., Barakat, H., Merinov, D., Kachmazov, A., Serebrianyi, S., Potoldykova, N., Perepechin, D.. Relapse-free survival and pd-l1 expression in first high-and low-grade relapsed luminal, basal and double-negative p53-mutant non-muscular invasive bladder cancer depending on previous chemo-and immunotherapy//Cancers. 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Volume 12, Issue 5, May 2020, Номер статьи 1316</w:t>
            </w: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>. DOI: 10.3390/cancers12051316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23B91E23" w14:textId="77777777" w:rsidR="009A5E47" w:rsidRPr="009A5E47" w:rsidRDefault="009A5E47" w:rsidP="009A5E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 xml:space="preserve">Osmanov, Y.I., Kogan, E.A., Rapoport, L.M, Teodorovich, O.V., Gaibov, J.A.. Markers of stem cells and their prognostic values for urothelial carcinomas of the urinary tract//Urologiia. 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Volume 2019, Issue 2, MARCH-APRIL 2019, Pages 40-49</w:t>
            </w: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r w:rsidRPr="009A5E47">
              <w:rPr>
                <w:rFonts w:eastAsiaTheme="minorHAnsi"/>
                <w:sz w:val="22"/>
                <w:szCs w:val="22"/>
                <w:lang w:eastAsia="en-US"/>
              </w:rPr>
              <w:t>DOI:10.18565/urology.2019.2.40-49.</w:t>
            </w:r>
          </w:p>
          <w:p w14:paraId="0FC5ED66" w14:textId="77777777" w:rsidR="009A5E47" w:rsidRPr="009A5E47" w:rsidRDefault="009A5E47" w:rsidP="009A5E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>Hans Guski, Evgenya A. Kogan, Vadim N. Shvalev. Etiology and Pathogenesis of Sudden Cardiac Death//Diagnostic pathology   Vol 5 No 1 (2019): Vol. 5 No. 1 2019 https://doi.org/10.17629/www.diagnosticpathology.eu-2019-5:275.</w:t>
            </w:r>
          </w:p>
          <w:p w14:paraId="37311CE0" w14:textId="77777777" w:rsidR="009A5E47" w:rsidRPr="009A5E47" w:rsidRDefault="009A5E47" w:rsidP="009A5E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A5E47">
              <w:rPr>
                <w:rFonts w:eastAsiaTheme="minorHAnsi"/>
                <w:sz w:val="22"/>
                <w:szCs w:val="22"/>
                <w:lang w:val="en-US" w:eastAsia="en-US"/>
              </w:rPr>
              <w:t xml:space="preserve"> Blagova O.V., Nedostup A.V., Kogan E.A. *, Zaklyazminskaya E.V. Diseases of the myocardium and pericardium: from syndromes to diagnosis and treatment / OV Blagova [and others]. —978-5-9704-4743-7 GEOTAR, Moscow 3000 978-5-9704-4743-7 Moscow Diseases of the myocardium and pericardium: from syndromes to diagnosis and treatment / OV Blagova [et al.]. Geotar, M .- 884 </w:t>
            </w:r>
          </w:p>
          <w:p w14:paraId="722D8767" w14:textId="77777777" w:rsidR="009A5E47" w:rsidRPr="009A5E47" w:rsidRDefault="009A5E47" w:rsidP="009A5E47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A5E47">
              <w:rPr>
                <w:rFonts w:ascii="Times New Roman" w:hAnsi="Times New Roman" w:cs="Times New Roman"/>
                <w:lang w:val="en-US"/>
              </w:rPr>
              <w:lastRenderedPageBreak/>
              <w:t xml:space="preserve">Kogan E.A., Bekhtereva E.V., Ponomarev A.B. </w:t>
            </w:r>
          </w:p>
          <w:p w14:paraId="57B065F0" w14:textId="77777777" w:rsidR="009A5E47" w:rsidRPr="009A5E47" w:rsidRDefault="009A5E47" w:rsidP="009A5E4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A5E47">
              <w:rPr>
                <w:rFonts w:ascii="Times New Roman" w:hAnsi="Times New Roman" w:cs="Times New Roman"/>
                <w:lang w:val="en-US"/>
              </w:rPr>
              <w:t xml:space="preserve">Electronic       practical guide to 3D pathological anatomy. Part 1. Private pathological anatomy of GEOTAR, Moscow, Moscow. </w:t>
            </w:r>
            <w:hyperlink r:id="rId8" w:history="1">
              <w:r w:rsidRPr="009A5E47">
                <w:rPr>
                  <w:rStyle w:val="ae"/>
                  <w:rFonts w:ascii="Times New Roman" w:hAnsi="Times New Roman" w:cs="Times New Roman"/>
                  <w:lang w:val="en-US"/>
                </w:rPr>
                <w:t>http://studmedlib.ru/book/06-COS-2404html</w:t>
              </w:r>
            </w:hyperlink>
            <w:r w:rsidRPr="009A5E4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5439B34" w14:textId="77777777" w:rsidR="009A5E47" w:rsidRPr="009A5E47" w:rsidRDefault="009A5E47" w:rsidP="009A5E47">
            <w:pPr>
              <w:pStyle w:val="a3"/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5E47">
              <w:rPr>
                <w:rFonts w:ascii="Times New Roman" w:hAnsi="Times New Roman" w:cs="Times New Roman"/>
                <w:lang w:val="en-US"/>
              </w:rPr>
              <w:t xml:space="preserve">Blagova O.V.,Rud R., Kogan E.A. *, </w:t>
            </w:r>
            <w:r w:rsidRPr="009A5E47">
              <w:rPr>
                <w:rFonts w:ascii="Times New Roman" w:hAnsi="Times New Roman" w:cs="Times New Roman"/>
                <w:color w:val="000000"/>
                <w:kern w:val="36"/>
                <w:lang w:val="en-US"/>
              </w:rPr>
              <w:t xml:space="preserve">Comparative Efficacy and Safety of Mycophenolate Mofetil and Azathioprine in Combination with Corticosteroids in the Treatment of Lymphocytic Myocarditis. </w:t>
            </w:r>
            <w:r w:rsidRPr="009A5E47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J. Clin. Med.</w:t>
            </w:r>
            <w:r w:rsidRPr="009A5E47">
              <w:rPr>
                <w:rFonts w:ascii="Times New Roman" w:eastAsia="Times New Roman" w:hAnsi="Times New Roman" w:cs="Times New Roman"/>
                <w:lang w:val="en-US" w:eastAsia="ru-RU"/>
              </w:rPr>
              <w:t> 2023, </w:t>
            </w:r>
            <w:r w:rsidRPr="009A5E47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12</w:t>
            </w:r>
            <w:r w:rsidRPr="009A5E4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(15), 49 </w:t>
            </w:r>
          </w:p>
          <w:p w14:paraId="2DA5ECC3" w14:textId="77777777" w:rsidR="009A5E47" w:rsidRPr="009A5E47" w:rsidRDefault="009A5E47" w:rsidP="009A5E4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A5E47">
              <w:rPr>
                <w:rFonts w:ascii="Times New Roman" w:hAnsi="Times New Roman" w:cs="Times New Roman"/>
                <w:color w:val="000000"/>
                <w:lang w:eastAsia="ru-RU"/>
              </w:rPr>
              <w:t>Болезни миокарда и перикарда : от синдромов к диагнозу и лечению / О. В. Благова [и др.]. —97 8Благова О.В., Недоступ А.В., Коган Е.А.*, Заклязьминская Е.В. ГЭОТАР, Москва</w:t>
            </w:r>
          </w:p>
          <w:p w14:paraId="5178CAA2" w14:textId="77777777" w:rsidR="009A5E47" w:rsidRPr="009A5E47" w:rsidRDefault="009A5E47" w:rsidP="009A5E4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9A5E47">
              <w:rPr>
                <w:rFonts w:ascii="Times New Roman" w:hAnsi="Times New Roman" w:cs="Times New Roman"/>
                <w:lang w:val="en-US" w:eastAsia="ru-RU"/>
              </w:rPr>
              <w:t xml:space="preserve">Alexander Averyanov, Kogan Evgeniya Difficult to Diagnose Rare Diffuse Lung Disease Academic Press, Elsever.2019, USA, 430 </w:t>
            </w:r>
            <w:r w:rsidRPr="009A5E47">
              <w:rPr>
                <w:rFonts w:ascii="Times New Roman" w:hAnsi="Times New Roman" w:cs="Times New Roman"/>
                <w:lang w:eastAsia="ru-RU"/>
              </w:rPr>
              <w:t>Р</w:t>
            </w:r>
            <w:r w:rsidRPr="009A5E4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  <w:p w14:paraId="220281DE" w14:textId="77777777" w:rsidR="009A5E47" w:rsidRPr="009A5E47" w:rsidRDefault="009A5E47" w:rsidP="009A5E4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A5E47">
              <w:rPr>
                <w:rFonts w:ascii="Times New Roman" w:hAnsi="Times New Roman" w:cs="Times New Roman"/>
                <w:color w:val="333333"/>
                <w:shd w:val="clear" w:color="auto" w:fill="FFFFFF"/>
                <w:lang w:val="fr-FR"/>
              </w:rPr>
              <w:t>Kogan, E., Berezovskiy, Y., Blagova, O. </w:t>
            </w:r>
            <w:r w:rsidRPr="009A5E47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lang w:val="fr-FR"/>
              </w:rPr>
              <w:t>et al.</w:t>
            </w:r>
            <w:r w:rsidRPr="009A5E47">
              <w:rPr>
                <w:rFonts w:ascii="Times New Roman" w:hAnsi="Times New Roman" w:cs="Times New Roman"/>
                <w:color w:val="333333"/>
                <w:shd w:val="clear" w:color="auto" w:fill="FFFFFF"/>
                <w:lang w:val="fr-FR"/>
              </w:rPr>
              <w:t> </w:t>
            </w:r>
            <w:r w:rsidRPr="009A5E47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Morphologically, immunohistochemically and PCR proven lymphocytic viral peri-, endo-, myocarditis in patients with fatal COVID-19. </w:t>
            </w:r>
            <w:r w:rsidRPr="009A5E47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Diagn Pathol</w:t>
            </w:r>
            <w:r w:rsidRPr="009A5E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A5E4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17, </w:t>
            </w:r>
            <w:r w:rsidRPr="009A5E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31 (2022). </w:t>
            </w:r>
            <w:hyperlink r:id="rId9" w:history="1">
              <w:r w:rsidRPr="009A5E47">
                <w:rPr>
                  <w:rStyle w:val="ae"/>
                  <w:rFonts w:ascii="Times New Roman" w:hAnsi="Times New Roman" w:cs="Times New Roman"/>
                  <w:shd w:val="clear" w:color="auto" w:fill="FFFFFF"/>
                </w:rPr>
                <w:t>https://doi.org/10.1186/s13000-022-01207-6</w:t>
              </w:r>
            </w:hyperlink>
          </w:p>
          <w:p w14:paraId="553CF365" w14:textId="77777777" w:rsidR="009A5E47" w:rsidRPr="009A5E47" w:rsidRDefault="009A5E47" w:rsidP="009A5E4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A5E47">
              <w:rPr>
                <w:rStyle w:val="author"/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Enikeev, D</w:t>
            </w:r>
            <w:r w:rsidRPr="009A5E47">
              <w:rPr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, </w:t>
            </w:r>
            <w:r w:rsidRPr="009A5E47">
              <w:rPr>
                <w:rStyle w:val="author"/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Taratkin, M</w:t>
            </w:r>
            <w:r w:rsidRPr="009A5E47">
              <w:rPr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, </w:t>
            </w:r>
            <w:r w:rsidRPr="009A5E47">
              <w:rPr>
                <w:rStyle w:val="author"/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Morozov, A</w:t>
            </w:r>
            <w:r w:rsidRPr="009A5E47">
              <w:rPr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, et al. </w:t>
            </w:r>
            <w:r w:rsidRPr="009A5E47">
              <w:rPr>
                <w:rStyle w:val="articletitle"/>
                <w:rFonts w:ascii="Times New Roman" w:hAnsi="Times New Roman" w:cs="Times New Roman"/>
                <w:color w:val="1C1D1E"/>
                <w:shd w:val="clear" w:color="auto" w:fill="FFFFFF"/>
                <w:lang w:val="en-US"/>
              </w:rPr>
              <w:t>Prospective two-arm study of testicular function in patients with COVID-19</w:t>
            </w:r>
            <w:r w:rsidRPr="009A5E47">
              <w:rPr>
                <w:rFonts w:ascii="Times New Roman" w:hAnsi="Times New Roman" w:cs="Times New Roman"/>
                <w:color w:val="1C1D1E"/>
                <w:shd w:val="clear" w:color="auto" w:fill="FFFFFF"/>
                <w:lang w:val="en-US"/>
              </w:rPr>
              <w:t>. </w:t>
            </w:r>
            <w:r w:rsidRPr="009A5E47">
              <w:rPr>
                <w:rFonts w:ascii="Times New Roman" w:hAnsi="Times New Roman" w:cs="Times New Roman"/>
                <w:i/>
                <w:iCs/>
                <w:color w:val="1C1D1E"/>
                <w:shd w:val="clear" w:color="auto" w:fill="FFFFFF"/>
              </w:rPr>
              <w:t>Andrology</w:t>
            </w:r>
            <w:r w:rsidRPr="009A5E4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 </w:t>
            </w:r>
            <w:r w:rsidRPr="009A5E47">
              <w:rPr>
                <w:rStyle w:val="pubyear"/>
                <w:rFonts w:ascii="Times New Roman" w:hAnsi="Times New Roman" w:cs="Times New Roman"/>
                <w:color w:val="1C1D1E"/>
                <w:shd w:val="clear" w:color="auto" w:fill="FFFFFF"/>
              </w:rPr>
              <w:t>2022</w:t>
            </w:r>
            <w:r w:rsidRPr="009A5E4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; </w:t>
            </w:r>
            <w:r w:rsidRPr="009A5E47">
              <w:rPr>
                <w:rStyle w:val="pagefirst"/>
                <w:rFonts w:ascii="Times New Roman" w:hAnsi="Times New Roman" w:cs="Times New Roman"/>
                <w:color w:val="1C1D1E"/>
                <w:shd w:val="clear" w:color="auto" w:fill="FFFFFF"/>
              </w:rPr>
              <w:t>1</w:t>
            </w:r>
            <w:r w:rsidRPr="009A5E4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– </w:t>
            </w:r>
            <w:r w:rsidRPr="009A5E47">
              <w:rPr>
                <w:rStyle w:val="pagelast"/>
                <w:rFonts w:ascii="Times New Roman" w:hAnsi="Times New Roman" w:cs="Times New Roman"/>
                <w:color w:val="1C1D1E"/>
                <w:shd w:val="clear" w:color="auto" w:fill="FFFFFF"/>
              </w:rPr>
              <w:t>10</w:t>
            </w:r>
            <w:r w:rsidRPr="009A5E4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 </w:t>
            </w:r>
            <w:hyperlink r:id="rId10" w:history="1">
              <w:r w:rsidRPr="009A5E47">
                <w:rPr>
                  <w:rStyle w:val="ae"/>
                  <w:rFonts w:ascii="Times New Roman" w:hAnsi="Times New Roman" w:cs="Times New Roman"/>
                  <w:color w:val="005274"/>
                  <w:shd w:val="clear" w:color="auto" w:fill="FFFFFF"/>
                </w:rPr>
                <w:t>https://doi.org/10.1111/andr.13159</w:t>
              </w:r>
            </w:hyperlink>
          </w:p>
          <w:p w14:paraId="1E524A0D" w14:textId="77777777" w:rsidR="009A5E47" w:rsidRPr="009A5E47" w:rsidRDefault="009A5E47" w:rsidP="009A5E4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9A5E47">
              <w:rPr>
                <w:rFonts w:ascii="Times New Roman" w:hAnsi="Times New Roman" w:cs="Times New Roman"/>
                <w:lang w:eastAsia="ru-RU"/>
              </w:rPr>
              <w:t xml:space="preserve">Благова О.В.,Коган Е.А. Миокардит в период пандемии </w:t>
            </w:r>
            <w:r w:rsidRPr="009A5E47">
              <w:rPr>
                <w:rFonts w:ascii="Times New Roman" w:hAnsi="Times New Roman" w:cs="Times New Roman"/>
                <w:lang w:val="en-US" w:eastAsia="ru-RU"/>
              </w:rPr>
              <w:t>SARS</w:t>
            </w:r>
            <w:r w:rsidRPr="009A5E47">
              <w:rPr>
                <w:rFonts w:ascii="Times New Roman" w:hAnsi="Times New Roman" w:cs="Times New Roman"/>
                <w:lang w:eastAsia="ru-RU"/>
              </w:rPr>
              <w:t>-</w:t>
            </w:r>
            <w:r w:rsidRPr="009A5E47">
              <w:rPr>
                <w:rFonts w:ascii="Times New Roman" w:hAnsi="Times New Roman" w:cs="Times New Roman"/>
                <w:lang w:val="en-US" w:eastAsia="ru-RU"/>
              </w:rPr>
              <w:t>Cov</w:t>
            </w:r>
            <w:r w:rsidRPr="009A5E47">
              <w:rPr>
                <w:rFonts w:ascii="Times New Roman" w:hAnsi="Times New Roman" w:cs="Times New Roman"/>
                <w:lang w:eastAsia="ru-RU"/>
              </w:rPr>
              <w:t>-2.  Практическая медицина,</w:t>
            </w:r>
            <w:r w:rsidRPr="009A5E47">
              <w:rPr>
                <w:rFonts w:ascii="Times New Roman" w:hAnsi="Times New Roman" w:cs="Times New Roman"/>
                <w:lang w:val="en-US" w:eastAsia="ru-RU"/>
              </w:rPr>
              <w:t>2023</w:t>
            </w:r>
            <w:r w:rsidRPr="009A5E47">
              <w:rPr>
                <w:rFonts w:ascii="Times New Roman" w:hAnsi="Times New Roman" w:cs="Times New Roman"/>
                <w:lang w:eastAsia="ru-RU"/>
              </w:rPr>
              <w:t>, 197с.</w:t>
            </w:r>
          </w:p>
          <w:p w14:paraId="55EF9ED3" w14:textId="77777777" w:rsidR="009A5E47" w:rsidRPr="009A5E47" w:rsidRDefault="009A5E47" w:rsidP="009A5E4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9A5E47">
              <w:rPr>
                <w:rFonts w:ascii="Times New Roman" w:hAnsi="Times New Roman" w:cs="Times New Roman"/>
                <w:lang w:val="en-US"/>
              </w:rPr>
              <w:t xml:space="preserve">COVID-19 and Cosmetic Collagen-Filler Injection-Associated Dermatopathy: A Case Report *E.A. Kogan,1 A. Das,2 T.A. Demura,1 A.Y. Koroleva,3 Y.A. Yutskovskaya4 EMJ Dermatol. </w:t>
            </w:r>
            <w:r w:rsidRPr="009A5E47">
              <w:rPr>
                <w:rFonts w:ascii="Times New Roman" w:hAnsi="Times New Roman" w:cs="Times New Roman"/>
              </w:rPr>
              <w:t xml:space="preserve">2023; DOI/10.33590/emjdermatol/10300228. </w:t>
            </w:r>
            <w:hyperlink r:id="rId11" w:history="1">
              <w:r w:rsidRPr="009A5E47">
                <w:rPr>
                  <w:rStyle w:val="ae"/>
                  <w:rFonts w:ascii="Times New Roman" w:hAnsi="Times New Roman" w:cs="Times New Roman"/>
                </w:rPr>
                <w:t>https://doi.org/10.33590/emjdermatol/10300228</w:t>
              </w:r>
            </w:hyperlink>
            <w:r w:rsidRPr="009A5E47">
              <w:rPr>
                <w:rFonts w:ascii="Times New Roman" w:hAnsi="Times New Roman" w:cs="Times New Roman"/>
              </w:rPr>
              <w:t>.</w:t>
            </w:r>
          </w:p>
          <w:p w14:paraId="64ACF724" w14:textId="77777777" w:rsidR="009A5E47" w:rsidRPr="009A5E47" w:rsidRDefault="009A5E47" w:rsidP="009A5E47">
            <w:pPr>
              <w:pStyle w:val="a3"/>
              <w:spacing w:after="15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A920EE5" w14:textId="77777777" w:rsidR="009A5E47" w:rsidRPr="009A5E47" w:rsidRDefault="009A5E47" w:rsidP="009A5E47">
            <w:pPr>
              <w:spacing w:after="0"/>
              <w:rPr>
                <w:color w:val="000000"/>
                <w:lang w:val="en-US"/>
              </w:rPr>
            </w:pPr>
          </w:p>
          <w:p w14:paraId="305259D5" w14:textId="77777777" w:rsidR="009A5E47" w:rsidRPr="009A5E47" w:rsidRDefault="009A5E47" w:rsidP="009A5E47">
            <w:pPr>
              <w:spacing w:after="0"/>
              <w:rPr>
                <w:lang w:val="en-US"/>
              </w:rPr>
            </w:pPr>
          </w:p>
          <w:p w14:paraId="20F9B65E" w14:textId="1EF22A44" w:rsidR="009A5E47" w:rsidRPr="009A5E47" w:rsidRDefault="009A5E47" w:rsidP="009A5E47">
            <w:pPr>
              <w:spacing w:after="0"/>
              <w:rPr>
                <w:i/>
                <w:iCs/>
              </w:rPr>
            </w:pPr>
          </w:p>
        </w:tc>
      </w:tr>
    </w:tbl>
    <w:p w14:paraId="0AF57A49" w14:textId="52E74FD0" w:rsidR="00C6461A" w:rsidRDefault="00C6461A">
      <w:pPr>
        <w:spacing w:after="0"/>
        <w:jc w:val="left"/>
      </w:pPr>
    </w:p>
    <w:sectPr w:rsidR="00C6461A" w:rsidSect="00C55CAC">
      <w:footerReference w:type="even" r:id="rId12"/>
      <w:footerReference w:type="default" r:id="rId13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CE34" w14:textId="77777777" w:rsidR="0040411B" w:rsidRDefault="0040411B">
      <w:pPr>
        <w:spacing w:after="0"/>
      </w:pPr>
      <w:r>
        <w:separator/>
      </w:r>
    </w:p>
  </w:endnote>
  <w:endnote w:type="continuationSeparator" w:id="0">
    <w:p w14:paraId="51862CA7" w14:textId="77777777" w:rsidR="0040411B" w:rsidRDefault="004041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2621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26210" w:rsidRDefault="0002621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02621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026210" w:rsidRDefault="0002621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AA0D" w14:textId="77777777" w:rsidR="0040411B" w:rsidRDefault="0040411B">
      <w:pPr>
        <w:spacing w:after="0"/>
      </w:pPr>
      <w:r>
        <w:separator/>
      </w:r>
    </w:p>
  </w:footnote>
  <w:footnote w:type="continuationSeparator" w:id="0">
    <w:p w14:paraId="46193720" w14:textId="77777777" w:rsidR="0040411B" w:rsidRDefault="004041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825"/>
    <w:multiLevelType w:val="hybridMultilevel"/>
    <w:tmpl w:val="F9D4F0FC"/>
    <w:lvl w:ilvl="0" w:tplc="01ACA3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76F76"/>
    <w:multiLevelType w:val="hybridMultilevel"/>
    <w:tmpl w:val="621E9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E62BA"/>
    <w:multiLevelType w:val="hybridMultilevel"/>
    <w:tmpl w:val="621E9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53A0F"/>
    <w:multiLevelType w:val="hybridMultilevel"/>
    <w:tmpl w:val="621E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33D77"/>
    <w:multiLevelType w:val="hybridMultilevel"/>
    <w:tmpl w:val="621E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900362">
    <w:abstractNumId w:val="0"/>
  </w:num>
  <w:num w:numId="2" w16cid:durableId="1263338278">
    <w:abstractNumId w:val="5"/>
  </w:num>
  <w:num w:numId="3" w16cid:durableId="1579946282">
    <w:abstractNumId w:val="4"/>
  </w:num>
  <w:num w:numId="4" w16cid:durableId="1955866579">
    <w:abstractNumId w:val="1"/>
  </w:num>
  <w:num w:numId="5" w16cid:durableId="1569803168">
    <w:abstractNumId w:val="2"/>
  </w:num>
  <w:num w:numId="6" w16cid:durableId="1438594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26210"/>
    <w:rsid w:val="00055A03"/>
    <w:rsid w:val="00062064"/>
    <w:rsid w:val="0007348D"/>
    <w:rsid w:val="00080363"/>
    <w:rsid w:val="00084771"/>
    <w:rsid w:val="000C443D"/>
    <w:rsid w:val="000C6EB3"/>
    <w:rsid w:val="001A2AC1"/>
    <w:rsid w:val="001A2BCE"/>
    <w:rsid w:val="001B3954"/>
    <w:rsid w:val="001C0D13"/>
    <w:rsid w:val="001D1640"/>
    <w:rsid w:val="001E3C4E"/>
    <w:rsid w:val="00200ADC"/>
    <w:rsid w:val="00233637"/>
    <w:rsid w:val="00236C0D"/>
    <w:rsid w:val="00266DBA"/>
    <w:rsid w:val="002917C4"/>
    <w:rsid w:val="002955D1"/>
    <w:rsid w:val="00305558"/>
    <w:rsid w:val="00334CF9"/>
    <w:rsid w:val="00383611"/>
    <w:rsid w:val="00393AB6"/>
    <w:rsid w:val="003A0C7D"/>
    <w:rsid w:val="003B46EC"/>
    <w:rsid w:val="003E7976"/>
    <w:rsid w:val="003F58AD"/>
    <w:rsid w:val="0040411B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C5748"/>
    <w:rsid w:val="005D494D"/>
    <w:rsid w:val="00612B32"/>
    <w:rsid w:val="00614D2B"/>
    <w:rsid w:val="00645C13"/>
    <w:rsid w:val="00665388"/>
    <w:rsid w:val="006747F1"/>
    <w:rsid w:val="006871A0"/>
    <w:rsid w:val="006D1128"/>
    <w:rsid w:val="007501B2"/>
    <w:rsid w:val="00784EB3"/>
    <w:rsid w:val="00791150"/>
    <w:rsid w:val="00794773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6259A"/>
    <w:rsid w:val="009932FE"/>
    <w:rsid w:val="009A0634"/>
    <w:rsid w:val="009A5E47"/>
    <w:rsid w:val="009C5E37"/>
    <w:rsid w:val="00A222F3"/>
    <w:rsid w:val="00A3702F"/>
    <w:rsid w:val="00A66DAC"/>
    <w:rsid w:val="00A85F6F"/>
    <w:rsid w:val="00AC00ED"/>
    <w:rsid w:val="00AD01EB"/>
    <w:rsid w:val="00AE2D77"/>
    <w:rsid w:val="00B16646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07A5"/>
    <w:rsid w:val="00D012D4"/>
    <w:rsid w:val="00DA4797"/>
    <w:rsid w:val="00DA61AA"/>
    <w:rsid w:val="00DD0582"/>
    <w:rsid w:val="00DE6C0C"/>
    <w:rsid w:val="00DF5837"/>
    <w:rsid w:val="00E41FC2"/>
    <w:rsid w:val="00EB2835"/>
    <w:rsid w:val="00ED1437"/>
    <w:rsid w:val="00F31B6E"/>
    <w:rsid w:val="00F6397F"/>
    <w:rsid w:val="00FA5B8B"/>
    <w:rsid w:val="00FB7908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66DAC"/>
    <w:rPr>
      <w:color w:val="605E5C"/>
      <w:shd w:val="clear" w:color="auto" w:fill="E1DFDD"/>
    </w:rPr>
  </w:style>
  <w:style w:type="character" w:customStyle="1" w:styleId="author">
    <w:name w:val="author"/>
    <w:basedOn w:val="a0"/>
    <w:rsid w:val="009A5E47"/>
  </w:style>
  <w:style w:type="character" w:customStyle="1" w:styleId="articletitle">
    <w:name w:val="articletitle"/>
    <w:basedOn w:val="a0"/>
    <w:rsid w:val="009A5E47"/>
  </w:style>
  <w:style w:type="character" w:customStyle="1" w:styleId="pubyear">
    <w:name w:val="pubyear"/>
    <w:basedOn w:val="a0"/>
    <w:rsid w:val="009A5E47"/>
  </w:style>
  <w:style w:type="character" w:customStyle="1" w:styleId="pagefirst">
    <w:name w:val="pagefirst"/>
    <w:basedOn w:val="a0"/>
    <w:rsid w:val="009A5E47"/>
  </w:style>
  <w:style w:type="character" w:customStyle="1" w:styleId="pagelast">
    <w:name w:val="pagelast"/>
    <w:basedOn w:val="a0"/>
    <w:rsid w:val="009A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medlib.ru/book/06-COS-2404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590/emjdermatol/1030022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11/andr.13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3000-022-01207-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4</cp:revision>
  <dcterms:created xsi:type="dcterms:W3CDTF">2023-09-29T18:34:00Z</dcterms:created>
  <dcterms:modified xsi:type="dcterms:W3CDTF">2023-10-03T14:15:00Z</dcterms:modified>
</cp:coreProperties>
</file>