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CD93" w14:textId="1ECB258C" w:rsidR="00B756DB" w:rsidRPr="00EF1256" w:rsidRDefault="00612B32" w:rsidP="009932FE">
      <w:pPr>
        <w:rPr>
          <w:b/>
          <w:sz w:val="26"/>
          <w:szCs w:val="26"/>
        </w:rPr>
      </w:pPr>
      <w:r w:rsidRPr="00EF1256">
        <w:rPr>
          <w:b/>
          <w:sz w:val="26"/>
          <w:szCs w:val="26"/>
        </w:rPr>
        <w:t xml:space="preserve">Структура научного профиля (портфолио) потенциальных научных руководителей участников </w:t>
      </w:r>
      <w:r w:rsidR="00443334" w:rsidRPr="00EF1256">
        <w:rPr>
          <w:b/>
          <w:sz w:val="26"/>
          <w:szCs w:val="26"/>
        </w:rPr>
        <w:t xml:space="preserve">трека аспирантуры </w:t>
      </w:r>
      <w:r w:rsidRPr="00EF1256">
        <w:rPr>
          <w:b/>
          <w:sz w:val="26"/>
          <w:szCs w:val="26"/>
        </w:rPr>
        <w:t>Международной олимпиады Ассоциации «Глобальные университеты» для абитуриентов магистратуры и аспирантуры</w:t>
      </w:r>
      <w:r w:rsidR="00084771" w:rsidRPr="00EF1256">
        <w:rPr>
          <w:b/>
          <w:sz w:val="26"/>
          <w:szCs w:val="26"/>
        </w:rPr>
        <w:t>.</w:t>
      </w:r>
    </w:p>
    <w:p w14:paraId="0AF57A49" w14:textId="52E74FD0" w:rsidR="00C6461A" w:rsidRPr="00EF1256" w:rsidRDefault="00C6461A">
      <w:pPr>
        <w:spacing w:after="0"/>
        <w:jc w:val="left"/>
        <w:rPr>
          <w:lang w:val="en-US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1"/>
        <w:gridCol w:w="6552"/>
      </w:tblGrid>
      <w:tr w:rsidR="00B60CF3" w:rsidRPr="00EF1256" w14:paraId="1B7FDCAD" w14:textId="77777777" w:rsidTr="00B60CF3">
        <w:trPr>
          <w:trHeight w:val="148"/>
        </w:trPr>
        <w:tc>
          <w:tcPr>
            <w:tcW w:w="33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4E18CB5" w14:textId="77777777" w:rsidR="00B60CF3" w:rsidRPr="00EF1256" w:rsidRDefault="009932FE" w:rsidP="00DE5B29">
            <w:pPr>
              <w:spacing w:after="0"/>
              <w:rPr>
                <w:b/>
                <w:color w:val="000000"/>
              </w:rPr>
            </w:pPr>
            <w:r w:rsidRPr="00EF1256">
              <w:br w:type="page"/>
            </w:r>
            <w:r w:rsidR="00B60CF3" w:rsidRPr="00EF1256">
              <w:rPr>
                <w:b/>
                <w:color w:val="000000"/>
              </w:rPr>
              <w:t>На английском языке:</w:t>
            </w:r>
          </w:p>
          <w:p w14:paraId="38F8266F" w14:textId="1E66B2AE" w:rsidR="00B60CF3" w:rsidRPr="00EF1256" w:rsidRDefault="00B60CF3" w:rsidP="00DE5B29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2E738EF" w14:textId="77777777" w:rsidR="00B60CF3" w:rsidRPr="00EF1256" w:rsidRDefault="00B60CF3" w:rsidP="00DE5B29">
            <w:pPr>
              <w:spacing w:after="0"/>
              <w:jc w:val="left"/>
              <w:rPr>
                <w:color w:val="000000"/>
              </w:rPr>
            </w:pPr>
          </w:p>
        </w:tc>
      </w:tr>
      <w:tr w:rsidR="00334CF9" w:rsidRPr="00EF1256" w14:paraId="517ABB19" w14:textId="77777777" w:rsidTr="00B60CF3">
        <w:trPr>
          <w:trHeight w:val="148"/>
        </w:trPr>
        <w:tc>
          <w:tcPr>
            <w:tcW w:w="3371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C0041D4" w14:textId="3F3BFC59" w:rsidR="00334CF9" w:rsidRPr="00EF1256" w:rsidRDefault="007501B2" w:rsidP="00DE5B29">
            <w:pPr>
              <w:spacing w:after="0"/>
              <w:rPr>
                <w:color w:val="000000"/>
              </w:rPr>
            </w:pPr>
            <w:r w:rsidRPr="00EF1256">
              <w:rPr>
                <w:color w:val="000000"/>
              </w:rPr>
              <w:t>University</w:t>
            </w:r>
          </w:p>
        </w:tc>
        <w:tc>
          <w:tcPr>
            <w:tcW w:w="6552" w:type="dxa"/>
            <w:tcBorders>
              <w:top w:val="single" w:sz="4" w:space="0" w:color="auto"/>
            </w:tcBorders>
            <w:shd w:val="clear" w:color="auto" w:fill="auto"/>
            <w:noWrap/>
          </w:tcPr>
          <w:p w14:paraId="20EA242E" w14:textId="51E9775F" w:rsidR="00334CF9" w:rsidRPr="00EF1256" w:rsidRDefault="006120C6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Sechenov University</w:t>
            </w:r>
          </w:p>
        </w:tc>
      </w:tr>
      <w:tr w:rsidR="00334CF9" w:rsidRPr="00EF1256" w14:paraId="7FFA70E2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6C68855F" w14:textId="03254C5D" w:rsidR="00334CF9" w:rsidRPr="00EF1256" w:rsidRDefault="005C5748" w:rsidP="00DE5B29">
            <w:pPr>
              <w:spacing w:after="0"/>
              <w:rPr>
                <w:color w:val="000000"/>
              </w:rPr>
            </w:pPr>
            <w:r w:rsidRPr="00EF1256">
              <w:t xml:space="preserve">Level </w:t>
            </w:r>
            <w:proofErr w:type="spellStart"/>
            <w:r w:rsidRPr="00EF1256">
              <w:t>of</w:t>
            </w:r>
            <w:proofErr w:type="spellEnd"/>
            <w:r w:rsidRPr="00EF1256">
              <w:t xml:space="preserve"> English </w:t>
            </w:r>
            <w:proofErr w:type="spellStart"/>
            <w:r w:rsidRPr="00EF1256">
              <w:t>proficiency</w:t>
            </w:r>
            <w:proofErr w:type="spellEnd"/>
          </w:p>
        </w:tc>
        <w:tc>
          <w:tcPr>
            <w:tcW w:w="6552" w:type="dxa"/>
            <w:shd w:val="clear" w:color="auto" w:fill="auto"/>
            <w:noWrap/>
          </w:tcPr>
          <w:p w14:paraId="00D17ECF" w14:textId="30C8536B" w:rsidR="00334CF9" w:rsidRPr="00EF1256" w:rsidRDefault="006120C6" w:rsidP="00DE5B29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Fluent (C1/C2)</w:t>
            </w:r>
          </w:p>
        </w:tc>
      </w:tr>
      <w:tr w:rsidR="00334CF9" w:rsidRPr="00EF1256" w14:paraId="3080E3C1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5C99C51" w14:textId="4C612AE5" w:rsidR="00334CF9" w:rsidRPr="00EF1256" w:rsidRDefault="005C5748" w:rsidP="00DE5B29">
            <w:pPr>
              <w:spacing w:after="0"/>
              <w:rPr>
                <w:color w:val="000000"/>
                <w:lang w:val="en-US"/>
              </w:rPr>
            </w:pPr>
            <w:r w:rsidRPr="00EF1256">
              <w:rPr>
                <w:lang w:val="en-US"/>
              </w:rPr>
              <w:t>Educational program</w:t>
            </w:r>
            <w:r w:rsidRPr="00EF1256">
              <w:rPr>
                <w:color w:val="000000"/>
                <w:lang w:val="en-US"/>
              </w:rPr>
              <w:t xml:space="preserve"> and f</w:t>
            </w:r>
            <w:r w:rsidRPr="00EF1256">
              <w:rPr>
                <w:lang w:val="en-US"/>
              </w:rPr>
              <w:t>ield of the educational program</w:t>
            </w:r>
            <w:r w:rsidRPr="00EF1256">
              <w:rPr>
                <w:color w:val="000000"/>
                <w:lang w:val="en-US"/>
              </w:rPr>
              <w:t xml:space="preserve"> for which the applicant will be accepted</w:t>
            </w:r>
          </w:p>
        </w:tc>
        <w:tc>
          <w:tcPr>
            <w:tcW w:w="6552" w:type="dxa"/>
            <w:shd w:val="clear" w:color="auto" w:fill="auto"/>
            <w:noWrap/>
          </w:tcPr>
          <w:p w14:paraId="66E7F026" w14:textId="02D8ED97" w:rsidR="009932FE" w:rsidRPr="00EF1256" w:rsidRDefault="009932FE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EF1256">
              <w:rPr>
                <w:i/>
                <w:color w:val="000000"/>
                <w:lang w:val="en-US"/>
              </w:rPr>
              <w:t>31.06.01 Clinical medicine (educational program)</w:t>
            </w:r>
          </w:p>
          <w:p w14:paraId="7105DAB1" w14:textId="77777777" w:rsidR="00334CF9" w:rsidRPr="00EF1256" w:rsidRDefault="006120C6" w:rsidP="009932FE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EF1256">
              <w:rPr>
                <w:i/>
                <w:color w:val="000000"/>
                <w:lang w:val="en-US"/>
              </w:rPr>
              <w:t>14.01.09 Infectious Diseases</w:t>
            </w:r>
            <w:r w:rsidR="009932FE" w:rsidRPr="00EF1256">
              <w:rPr>
                <w:i/>
                <w:color w:val="000000"/>
                <w:lang w:val="en-US"/>
              </w:rPr>
              <w:t xml:space="preserve"> (field of the educational program)</w:t>
            </w:r>
          </w:p>
          <w:p w14:paraId="4AD04D8E" w14:textId="77777777" w:rsidR="006120C6" w:rsidRPr="00EF1256" w:rsidRDefault="006120C6" w:rsidP="006120C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EF1256">
              <w:rPr>
                <w:i/>
                <w:color w:val="000000"/>
                <w:lang w:val="en-US"/>
              </w:rPr>
              <w:t>06.06.01 Biological Sciences (educational program)</w:t>
            </w:r>
          </w:p>
          <w:p w14:paraId="627EAB5C" w14:textId="0ED73276" w:rsidR="006120C6" w:rsidRPr="00EF1256" w:rsidRDefault="006120C6" w:rsidP="006120C6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EF1256">
              <w:rPr>
                <w:i/>
                <w:color w:val="000000"/>
                <w:lang w:val="en-US"/>
              </w:rPr>
              <w:t xml:space="preserve">03.01.03 Molecular Biology </w:t>
            </w:r>
            <w:r w:rsidR="00F53AB8" w:rsidRPr="00EF1256">
              <w:rPr>
                <w:i/>
                <w:color w:val="000000"/>
                <w:lang w:val="en-US"/>
              </w:rPr>
              <w:t>field of the educational program)</w:t>
            </w:r>
          </w:p>
        </w:tc>
      </w:tr>
      <w:tr w:rsidR="00334CF9" w:rsidRPr="00EF1256" w14:paraId="63EE698B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5BAE3C34" w14:textId="7E981D20" w:rsidR="00334CF9" w:rsidRPr="00EF1256" w:rsidRDefault="005C5748" w:rsidP="005C5748">
            <w:pPr>
              <w:spacing w:after="0"/>
              <w:jc w:val="left"/>
              <w:rPr>
                <w:lang w:val="en-US"/>
              </w:rPr>
            </w:pPr>
            <w:r w:rsidRPr="00EF1256">
              <w:rPr>
                <w:lang w:val="en-US"/>
              </w:rPr>
              <w:t>List of research projects of the potential supervisor (participation/leadership)</w:t>
            </w:r>
          </w:p>
        </w:tc>
        <w:tc>
          <w:tcPr>
            <w:tcW w:w="6552" w:type="dxa"/>
            <w:shd w:val="clear" w:color="auto" w:fill="auto"/>
            <w:noWrap/>
          </w:tcPr>
          <w:p w14:paraId="73397E3D" w14:textId="77777777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 xml:space="preserve">1. Elimination of hepatitis B virus </w:t>
            </w:r>
            <w:proofErr w:type="spellStart"/>
            <w:r w:rsidRPr="00EF1256">
              <w:rPr>
                <w:color w:val="000000"/>
                <w:lang w:val="en-US"/>
              </w:rPr>
              <w:t>cccDNA</w:t>
            </w:r>
            <w:proofErr w:type="spellEnd"/>
            <w:r w:rsidRPr="00EF1256">
              <w:rPr>
                <w:color w:val="000000"/>
                <w:lang w:val="en-US"/>
              </w:rPr>
              <w:t xml:space="preserve"> during chronic infection due to the nucleolytic action of CRISPR/Cas9 systems, epigenetic remodeling and modulation of double-strand break repair pathways (leader).</w:t>
            </w:r>
          </w:p>
          <w:p w14:paraId="7FACD7B4" w14:textId="77777777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2. Development of a universal biological platform for packaging and targeted delivery of CRISPR/Cas genetic editing systems (leader).</w:t>
            </w:r>
          </w:p>
          <w:p w14:paraId="24DC03D0" w14:textId="794C97A0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3. The influence of intracellular immune response factors on the replication and persistence of hepatitis B and D viruses (leader).</w:t>
            </w:r>
          </w:p>
          <w:p w14:paraId="278AF9F0" w14:textId="6DC86361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4. The role of intranuclear sensors of foreign DNA during hepatitis B virus infection (leader).</w:t>
            </w:r>
          </w:p>
          <w:p w14:paraId="46486F9B" w14:textId="19A32895" w:rsidR="00334CF9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5. Epidemiological and clinical significance of the genetic heterogeneity of hepatitis A and B viruses (leader).</w:t>
            </w:r>
          </w:p>
        </w:tc>
      </w:tr>
      <w:tr w:rsidR="00334CF9" w:rsidRPr="00EF1256" w14:paraId="4046F5D5" w14:textId="77777777" w:rsidTr="00DE5B29">
        <w:trPr>
          <w:trHeight w:val="148"/>
        </w:trPr>
        <w:tc>
          <w:tcPr>
            <w:tcW w:w="3371" w:type="dxa"/>
            <w:shd w:val="clear" w:color="auto" w:fill="auto"/>
            <w:noWrap/>
          </w:tcPr>
          <w:p w14:paraId="4C53EA56" w14:textId="19393137" w:rsidR="00334CF9" w:rsidRPr="00EF1256" w:rsidRDefault="005C5748" w:rsidP="00DE5B29">
            <w:pPr>
              <w:spacing w:after="0"/>
              <w:jc w:val="left"/>
              <w:rPr>
                <w:lang w:val="en-US"/>
              </w:rPr>
            </w:pPr>
            <w:r w:rsidRPr="00EF1256">
              <w:rPr>
                <w:lang w:val="en-US"/>
              </w:rPr>
              <w:t xml:space="preserve">List of </w:t>
            </w:r>
            <w:r w:rsidR="00C55CAC" w:rsidRPr="00EF1256">
              <w:rPr>
                <w:lang w:val="en-US"/>
              </w:rPr>
              <w:t>the topics offered for the prospective scientific research</w:t>
            </w:r>
          </w:p>
        </w:tc>
        <w:tc>
          <w:tcPr>
            <w:tcW w:w="6552" w:type="dxa"/>
            <w:shd w:val="clear" w:color="auto" w:fill="auto"/>
            <w:noWrap/>
          </w:tcPr>
          <w:p w14:paraId="4ADF3E15" w14:textId="77777777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1. Development of approaches to the treatment of chronic hepatitis B through modulation of antiviral factors;</w:t>
            </w:r>
          </w:p>
          <w:p w14:paraId="715D8E88" w14:textId="36B45B7B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2. Gene therapy of chronic hepatitis B based on biological nanoparticles;</w:t>
            </w:r>
          </w:p>
          <w:p w14:paraId="2D31EE9E" w14:textId="27E4EAD4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3. Development of a model of chronic hepatitis B in non-human primates;</w:t>
            </w:r>
          </w:p>
          <w:p w14:paraId="6F9BFCEF" w14:textId="77777777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4. Study of the mechanisms of action of new intracellular factors on the replication of the hepatitis B virus;</w:t>
            </w:r>
          </w:p>
          <w:p w14:paraId="4E435F59" w14:textId="6FF38ADE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 xml:space="preserve">5. Assessing the impact of </w:t>
            </w:r>
            <w:proofErr w:type="spellStart"/>
            <w:r w:rsidRPr="00EF1256">
              <w:rPr>
                <w:color w:val="000000"/>
                <w:lang w:val="en-US"/>
              </w:rPr>
              <w:t>biocamouflage</w:t>
            </w:r>
            <w:proofErr w:type="spellEnd"/>
            <w:r w:rsidRPr="00EF1256">
              <w:rPr>
                <w:color w:val="000000"/>
                <w:lang w:val="en-US"/>
              </w:rPr>
              <w:t xml:space="preserve"> on the delivery of gene therapeutic agents;</w:t>
            </w:r>
          </w:p>
          <w:p w14:paraId="09ADC35C" w14:textId="5ACF636E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6. Development of a mitochondrial genome system for the treatment of mitochondrial diseases;</w:t>
            </w:r>
          </w:p>
          <w:p w14:paraId="6A2C54B8" w14:textId="77777777" w:rsidR="00F53AB8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7. Genetic factors of the virus and the host that determine the fulminant course of acute hepatitis B;</w:t>
            </w:r>
          </w:p>
          <w:p w14:paraId="4A51D436" w14:textId="41BB0ECE" w:rsidR="00C55CAC" w:rsidRPr="00EF1256" w:rsidRDefault="00F53AB8" w:rsidP="00F53AB8">
            <w:pPr>
              <w:spacing w:after="0"/>
              <w:jc w:val="left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8. Molecular epidemiology of hepatitis B in small indigenous peoples of the north, Siberia and the Far East.</w:t>
            </w:r>
          </w:p>
        </w:tc>
      </w:tr>
      <w:tr w:rsidR="00F53AB8" w:rsidRPr="00EF1256" w14:paraId="01917A5C" w14:textId="77777777" w:rsidTr="00DE5B29">
        <w:trPr>
          <w:trHeight w:val="148"/>
        </w:trPr>
        <w:tc>
          <w:tcPr>
            <w:tcW w:w="3371" w:type="dxa"/>
            <w:vMerge w:val="restart"/>
            <w:shd w:val="clear" w:color="auto" w:fill="auto"/>
            <w:noWrap/>
          </w:tcPr>
          <w:p w14:paraId="7D51BA87" w14:textId="77777777" w:rsidR="00F53AB8" w:rsidRPr="00EF1256" w:rsidRDefault="00F53AB8" w:rsidP="00F53AB8">
            <w:pPr>
              <w:spacing w:after="0"/>
              <w:rPr>
                <w:color w:val="000000"/>
                <w:lang w:val="en-US"/>
              </w:rPr>
            </w:pPr>
            <w:r w:rsidRPr="00EF1256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CAC87E" wp14:editId="267A584D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194310</wp:posOffset>
                      </wp:positionV>
                      <wp:extent cx="1590675" cy="2028825"/>
                      <wp:effectExtent l="19050" t="19050" r="28575" b="28575"/>
                      <wp:wrapTopAndBottom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0675" cy="20288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60CC5B5" w14:textId="292F2EBE" w:rsidR="00F53AB8" w:rsidRPr="006213A0" w:rsidRDefault="00227E2F" w:rsidP="00227E2F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noProof/>
                                      <w:color w:val="000000" w:themeColor="text1"/>
                                    </w:rPr>
                                    <w:drawing>
                                      <wp:inline distT="0" distB="0" distL="0" distR="0" wp14:anchorId="1220E74C" wp14:editId="7CA7C3D5">
                                        <wp:extent cx="1379855" cy="1607587"/>
                                        <wp:effectExtent l="0" t="0" r="0" b="0"/>
                                        <wp:docPr id="2085339901" name="Рисунок 2085339901" descr="Изображение выглядит как Человеческое лицо, человек, одежда, галстук&#10;&#10;Автоматически созданное описание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05796611" name="Рисунок 1" descr="Изображение выглядит как Человеческое лицо, человек, одежда, галстук&#10;&#10;Автоматически созданное описание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79855" cy="1607587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8CAC87E" id="Прямоугольник 2" o:spid="_x0000_s1027" style="position:absolute;left:0;text-align:left;margin-left:28.85pt;margin-top:15.3pt;width:125.25pt;height:159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" filled="f" strokecolor="black [3213]" strokeweight="2.25pt">
                      <v:textbox>
                        <w:txbxContent>
                          <w:p w14:paraId="060CC5B5" w14:textId="292F2EBE" w:rsidR="00F53AB8" w:rsidRPr="006213A0" w:rsidRDefault="00227E2F" w:rsidP="00227E2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noProof/>
                                <w:color w:val="000000" w:themeColor="text1"/>
                              </w:rPr>
                              <w:drawing>
                                <wp:inline distT="0" distB="0" distL="0" distR="0" wp14:anchorId="1220E74C" wp14:editId="7CA7C3D5">
                                  <wp:extent cx="1379855" cy="1607587"/>
                                  <wp:effectExtent l="0" t="0" r="0" b="0"/>
                                  <wp:docPr id="2085339901" name="Рисунок 2085339901" descr="Изображение выглядит как Человеческое лицо, человек, одежда, галстук&#10;&#10;Автоматически созданное описание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5796611" name="Рисунок 1" descr="Изображение выглядит как Человеческое лицо, человек, одежда, галстук&#10;&#10;Автоматически созданное описание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9855" cy="160758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 w:rsidRPr="00EF1256">
              <w:rPr>
                <w:color w:val="000000"/>
                <w:lang w:val="en-US"/>
              </w:rPr>
              <w:t> </w:t>
            </w:r>
          </w:p>
          <w:p w14:paraId="436DB831" w14:textId="77777777" w:rsidR="00F53AB8" w:rsidRPr="00EF1256" w:rsidRDefault="00F53AB8" w:rsidP="00F53AB8">
            <w:pPr>
              <w:rPr>
                <w:lang w:val="en-US"/>
              </w:rPr>
            </w:pPr>
          </w:p>
          <w:p w14:paraId="6340000C" w14:textId="77777777" w:rsidR="00F53AB8" w:rsidRPr="00EF1256" w:rsidRDefault="00F53AB8" w:rsidP="00F53AB8">
            <w:pPr>
              <w:rPr>
                <w:lang w:val="en-US"/>
              </w:rPr>
            </w:pPr>
            <w:r w:rsidRPr="00EF1256">
              <w:rPr>
                <w:lang w:val="en-US"/>
              </w:rPr>
              <w:t>Research supervisor:</w:t>
            </w:r>
          </w:p>
          <w:p w14:paraId="294EBACE" w14:textId="06C1CE59" w:rsidR="00F53AB8" w:rsidRPr="00EF1256" w:rsidRDefault="00227E2F" w:rsidP="00F53AB8">
            <w:pPr>
              <w:rPr>
                <w:lang w:val="en-US"/>
              </w:rPr>
            </w:pPr>
            <w:r w:rsidRPr="00EF1256">
              <w:rPr>
                <w:b/>
                <w:bCs/>
                <w:lang w:val="en-US"/>
              </w:rPr>
              <w:t>Vladimir Chulanov</w:t>
            </w:r>
            <w:r w:rsidR="00F53AB8" w:rsidRPr="00EF1256">
              <w:rPr>
                <w:lang w:val="en-US"/>
              </w:rPr>
              <w:t>,</w:t>
            </w:r>
          </w:p>
          <w:p w14:paraId="4C6140A2" w14:textId="2F08FF22" w:rsidR="00F53AB8" w:rsidRPr="00EF1256" w:rsidRDefault="00227E2F" w:rsidP="00F53AB8">
            <w:pPr>
              <w:rPr>
                <w:lang w:val="en-US"/>
              </w:rPr>
            </w:pPr>
            <w:r w:rsidRPr="00EF1256">
              <w:rPr>
                <w:lang w:val="en-US"/>
              </w:rPr>
              <w:t>PhD, DSc</w:t>
            </w:r>
            <w:r w:rsidR="00F53AB8" w:rsidRPr="00EF1256">
              <w:rPr>
                <w:lang w:val="en-US"/>
              </w:rPr>
              <w:t xml:space="preserve"> (</w:t>
            </w:r>
            <w:r w:rsidRPr="00EF1256">
              <w:rPr>
                <w:lang w:val="en-US"/>
              </w:rPr>
              <w:t>epidemiology, infectious diseases), Central Research Institute of Epidemiology, Moscow, Russia</w:t>
            </w:r>
          </w:p>
        </w:tc>
        <w:tc>
          <w:tcPr>
            <w:tcW w:w="6552" w:type="dxa"/>
            <w:shd w:val="clear" w:color="auto" w:fill="auto"/>
            <w:noWrap/>
          </w:tcPr>
          <w:p w14:paraId="1C1D5E32" w14:textId="2F7B7CF1" w:rsidR="00F53AB8" w:rsidRPr="00EF1256" w:rsidRDefault="00F53AB8" w:rsidP="004E04B7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EF1256">
              <w:rPr>
                <w:i/>
                <w:color w:val="000000"/>
                <w:lang w:val="en-US"/>
              </w:rPr>
              <w:t xml:space="preserve">3.03 </w:t>
            </w:r>
            <w:r w:rsidR="004E04B7" w:rsidRPr="00EF1256">
              <w:rPr>
                <w:i/>
                <w:color w:val="000000"/>
                <w:lang w:val="en-US"/>
              </w:rPr>
              <w:t>Medical and Health Sciences</w:t>
            </w:r>
            <w:r w:rsidRPr="00EF1256">
              <w:rPr>
                <w:i/>
                <w:color w:val="000000"/>
                <w:lang w:val="en-US"/>
              </w:rPr>
              <w:t xml:space="preserve">, </w:t>
            </w:r>
            <w:r w:rsidR="004E04B7" w:rsidRPr="00EF1256">
              <w:rPr>
                <w:i/>
                <w:color w:val="000000"/>
                <w:lang w:val="en-US"/>
              </w:rPr>
              <w:t>Health Sciences</w:t>
            </w:r>
            <w:r w:rsidRPr="00EF1256">
              <w:rPr>
                <w:i/>
                <w:color w:val="000000"/>
                <w:lang w:val="en-US"/>
              </w:rPr>
              <w:t>;</w:t>
            </w:r>
          </w:p>
          <w:p w14:paraId="2DB35924" w14:textId="7B7B9127" w:rsidR="00F53AB8" w:rsidRPr="00EF1256" w:rsidRDefault="00F53AB8" w:rsidP="004E04B7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EF1256">
              <w:rPr>
                <w:i/>
                <w:color w:val="000000"/>
                <w:lang w:val="en-US"/>
              </w:rPr>
              <w:t xml:space="preserve">NN </w:t>
            </w:r>
            <w:r w:rsidR="004E04B7" w:rsidRPr="00EF1256">
              <w:rPr>
                <w:i/>
                <w:color w:val="000000"/>
                <w:lang w:val="en-US"/>
              </w:rPr>
              <w:t>Infectious Diseases;</w:t>
            </w:r>
          </w:p>
          <w:p w14:paraId="546F8C0C" w14:textId="60608D62" w:rsidR="00F53AB8" w:rsidRPr="00EF1256" w:rsidRDefault="00F53AB8" w:rsidP="004E04B7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EF1256">
              <w:rPr>
                <w:i/>
                <w:color w:val="000000"/>
                <w:lang w:val="en-US"/>
              </w:rPr>
              <w:t xml:space="preserve">1.06 </w:t>
            </w:r>
            <w:r w:rsidR="004E04B7" w:rsidRPr="00EF1256">
              <w:rPr>
                <w:i/>
                <w:color w:val="000000"/>
                <w:lang w:val="en-US"/>
              </w:rPr>
              <w:t>Natural Sciences, Biological Sciences</w:t>
            </w:r>
            <w:r w:rsidRPr="00EF1256">
              <w:rPr>
                <w:i/>
                <w:color w:val="000000"/>
                <w:lang w:val="en-US"/>
              </w:rPr>
              <w:t>;</w:t>
            </w:r>
          </w:p>
          <w:p w14:paraId="565C9D9F" w14:textId="5DD67C89" w:rsidR="00F53AB8" w:rsidRPr="00EF1256" w:rsidRDefault="00F53AB8" w:rsidP="004E04B7">
            <w:pPr>
              <w:spacing w:after="0"/>
              <w:jc w:val="left"/>
              <w:rPr>
                <w:i/>
                <w:color w:val="000000"/>
                <w:lang w:val="en-US"/>
              </w:rPr>
            </w:pPr>
            <w:r w:rsidRPr="00EF1256">
              <w:rPr>
                <w:i/>
                <w:color w:val="000000"/>
                <w:lang w:val="en-US"/>
              </w:rPr>
              <w:t xml:space="preserve">CQ </w:t>
            </w:r>
            <w:r w:rsidR="004E04B7" w:rsidRPr="00EF1256">
              <w:rPr>
                <w:i/>
                <w:color w:val="000000"/>
                <w:lang w:val="en-US"/>
              </w:rPr>
              <w:t>Biochemistry and Molecular Biology</w:t>
            </w:r>
            <w:r w:rsidRPr="00EF1256">
              <w:rPr>
                <w:i/>
                <w:color w:val="000000"/>
                <w:lang w:val="en-US"/>
              </w:rPr>
              <w:t>;</w:t>
            </w:r>
          </w:p>
          <w:p w14:paraId="49F971D9" w14:textId="426EFDDC" w:rsidR="00F53AB8" w:rsidRPr="00EF1256" w:rsidRDefault="00F53AB8" w:rsidP="004E04B7">
            <w:pPr>
              <w:spacing w:after="0"/>
              <w:jc w:val="left"/>
              <w:rPr>
                <w:i/>
                <w:color w:val="000000"/>
              </w:rPr>
            </w:pPr>
            <w:r w:rsidRPr="00EF1256">
              <w:rPr>
                <w:i/>
                <w:color w:val="000000"/>
                <w:lang w:val="en-US"/>
              </w:rPr>
              <w:t xml:space="preserve">ZE </w:t>
            </w:r>
            <w:r w:rsidR="004E04B7" w:rsidRPr="00EF1256">
              <w:rPr>
                <w:i/>
                <w:color w:val="000000"/>
                <w:lang w:val="en-US"/>
              </w:rPr>
              <w:t>Virology</w:t>
            </w:r>
          </w:p>
        </w:tc>
      </w:tr>
      <w:tr w:rsidR="00F53AB8" w:rsidRPr="00EF1256" w14:paraId="2F5D5957" w14:textId="77777777" w:rsidTr="00DE5B29">
        <w:trPr>
          <w:trHeight w:val="802"/>
        </w:trPr>
        <w:tc>
          <w:tcPr>
            <w:tcW w:w="3371" w:type="dxa"/>
            <w:vMerge/>
            <w:noWrap/>
            <w:hideMark/>
          </w:tcPr>
          <w:p w14:paraId="450FDDCF" w14:textId="77777777" w:rsidR="00F53AB8" w:rsidRPr="00EF1256" w:rsidRDefault="00F53AB8" w:rsidP="00F53AB8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5AEB965F" w14:textId="7094821E" w:rsidR="00F53AB8" w:rsidRPr="00EF1256" w:rsidRDefault="00F53AB8" w:rsidP="00F53AB8">
            <w:pPr>
              <w:spacing w:after="0"/>
              <w:rPr>
                <w:color w:val="000000"/>
                <w:lang w:val="en-US"/>
              </w:rPr>
            </w:pPr>
            <w:r w:rsidRPr="00EF1256">
              <w:rPr>
                <w:lang w:val="en-US"/>
              </w:rPr>
              <w:t>Supervisor’s r</w:t>
            </w:r>
            <w:r w:rsidRPr="00EF1256">
              <w:rPr>
                <w:color w:val="000000"/>
                <w:lang w:val="en-US"/>
              </w:rPr>
              <w:t>esearch interests</w:t>
            </w:r>
            <w:r w:rsidR="00227E2F" w:rsidRPr="00EF1256">
              <w:rPr>
                <w:color w:val="000000"/>
                <w:lang w:val="en-US"/>
              </w:rPr>
              <w:t>:</w:t>
            </w:r>
          </w:p>
          <w:p w14:paraId="4D57762C" w14:textId="387316FC" w:rsidR="00F53AB8" w:rsidRPr="00EF1256" w:rsidRDefault="004E04B7" w:rsidP="00F53AB8">
            <w:pPr>
              <w:spacing w:after="0"/>
              <w:rPr>
                <w:lang w:val="en-US"/>
              </w:rPr>
            </w:pPr>
            <w:r w:rsidRPr="00EF1256">
              <w:rPr>
                <w:i/>
                <w:iCs/>
                <w:lang w:val="en-US"/>
              </w:rPr>
              <w:t>Infectious diseases (etiology, diagnostics, pathogenesis, clinical features, treatment), viral hepatitis, molecular epidemiology, gene therapy, CRISPR/Cas, drug delivery systems, intracellular immunity factors.</w:t>
            </w:r>
          </w:p>
        </w:tc>
      </w:tr>
      <w:tr w:rsidR="00F53AB8" w:rsidRPr="00EF1256" w14:paraId="560D73E1" w14:textId="77777777" w:rsidTr="00DE5B29">
        <w:trPr>
          <w:trHeight w:val="729"/>
        </w:trPr>
        <w:tc>
          <w:tcPr>
            <w:tcW w:w="3371" w:type="dxa"/>
            <w:vMerge/>
            <w:vAlign w:val="center"/>
            <w:hideMark/>
          </w:tcPr>
          <w:p w14:paraId="2B3932E7" w14:textId="77777777" w:rsidR="00F53AB8" w:rsidRPr="00EF1256" w:rsidRDefault="00F53AB8" w:rsidP="00F53AB8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67D26BF4" w14:textId="372B00A5" w:rsidR="00227E2F" w:rsidRPr="00EF1256" w:rsidRDefault="00F53AB8" w:rsidP="00F53AB8">
            <w:pPr>
              <w:spacing w:after="0"/>
              <w:rPr>
                <w:color w:val="000000"/>
              </w:rPr>
            </w:pPr>
            <w:r w:rsidRPr="00EF1256">
              <w:rPr>
                <w:color w:val="000000"/>
                <w:lang w:val="en-US"/>
              </w:rPr>
              <w:t>Research</w:t>
            </w:r>
            <w:r w:rsidRPr="00EF1256">
              <w:rPr>
                <w:color w:val="000000"/>
              </w:rPr>
              <w:t xml:space="preserve"> </w:t>
            </w:r>
            <w:r w:rsidRPr="00EF1256">
              <w:rPr>
                <w:color w:val="000000"/>
                <w:lang w:val="en-US"/>
              </w:rPr>
              <w:t>highlights</w:t>
            </w:r>
            <w:r w:rsidR="00227E2F" w:rsidRPr="00EF1256">
              <w:rPr>
                <w:color w:val="000000"/>
              </w:rPr>
              <w:t xml:space="preserve">: </w:t>
            </w:r>
          </w:p>
          <w:p w14:paraId="48BB5735" w14:textId="4466B240" w:rsidR="00F53AB8" w:rsidRPr="00EF1256" w:rsidRDefault="004E04B7" w:rsidP="00F53AB8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 xml:space="preserve">Using a wide range of molecular biology methods (cloning, sequencing, high-throughput sequencing, electrophoresis of proteins and nucleic acids, etc.), working with cell cultures, laboratory animals, various types of </w:t>
            </w:r>
            <w:proofErr w:type="gramStart"/>
            <w:r w:rsidRPr="00EF1256">
              <w:rPr>
                <w:i/>
                <w:iCs/>
                <w:lang w:val="en-US"/>
              </w:rPr>
              <w:t>microscopy</w:t>
            </w:r>
            <w:proofErr w:type="gramEnd"/>
          </w:p>
        </w:tc>
      </w:tr>
      <w:tr w:rsidR="00F53AB8" w:rsidRPr="00EF1256" w14:paraId="62CF3F39" w14:textId="77777777" w:rsidTr="00DE5B29">
        <w:trPr>
          <w:trHeight w:val="997"/>
        </w:trPr>
        <w:tc>
          <w:tcPr>
            <w:tcW w:w="3371" w:type="dxa"/>
            <w:vMerge/>
            <w:vAlign w:val="center"/>
            <w:hideMark/>
          </w:tcPr>
          <w:p w14:paraId="5D236098" w14:textId="77777777" w:rsidR="00F53AB8" w:rsidRPr="00EF1256" w:rsidRDefault="00F53AB8" w:rsidP="00F53AB8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  <w:hideMark/>
          </w:tcPr>
          <w:p w14:paraId="40DFB24C" w14:textId="07C4894B" w:rsidR="00227E2F" w:rsidRPr="00EF1256" w:rsidRDefault="00F53AB8" w:rsidP="00F53AB8">
            <w:pPr>
              <w:spacing w:after="0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Supervisor’s specific requirements:</w:t>
            </w:r>
          </w:p>
          <w:p w14:paraId="17779D03" w14:textId="1CB60CF2" w:rsidR="00F53AB8" w:rsidRPr="00EF1256" w:rsidRDefault="004E04B7" w:rsidP="00F53AB8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>Skills: molecular cloning, Western blot, PCR, cell culture, confocal microscopy. Education: medical, biological, chemical. Presence of at least 1 original article with 1st authorship in Q1; experience of speaking at congresses; GPA at the end of university is not lower than 4.8. Availability of awards, diplomas for success in studies and scientific activities.</w:t>
            </w:r>
          </w:p>
        </w:tc>
      </w:tr>
      <w:tr w:rsidR="004E04B7" w:rsidRPr="00EF1256" w14:paraId="66FA5DAF" w14:textId="77777777" w:rsidTr="00DE5B29">
        <w:trPr>
          <w:trHeight w:val="553"/>
        </w:trPr>
        <w:tc>
          <w:tcPr>
            <w:tcW w:w="3371" w:type="dxa"/>
            <w:vMerge/>
            <w:vAlign w:val="center"/>
            <w:hideMark/>
          </w:tcPr>
          <w:p w14:paraId="43B96452" w14:textId="77777777" w:rsidR="004E04B7" w:rsidRPr="00EF1256" w:rsidRDefault="004E04B7" w:rsidP="004E04B7">
            <w:pPr>
              <w:spacing w:after="0"/>
              <w:rPr>
                <w:color w:val="000000"/>
                <w:lang w:val="en-US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427D90B2" w14:textId="50B7EE43" w:rsidR="004E04B7" w:rsidRPr="00EF1256" w:rsidRDefault="004E04B7" w:rsidP="004E04B7">
            <w:pPr>
              <w:spacing w:after="0"/>
              <w:rPr>
                <w:lang w:val="en-US"/>
              </w:rPr>
            </w:pPr>
            <w:r w:rsidRPr="00EF1256">
              <w:rPr>
                <w:lang w:val="en-US"/>
              </w:rPr>
              <w:t>Supervisor</w:t>
            </w:r>
            <w:r w:rsidR="00227E2F" w:rsidRPr="00EF1256">
              <w:rPr>
                <w:lang w:val="en-US"/>
              </w:rPr>
              <w:t>’s key publications:</w:t>
            </w:r>
          </w:p>
          <w:p w14:paraId="5F741A3C" w14:textId="77777777" w:rsidR="00227E2F" w:rsidRPr="00EF1256" w:rsidRDefault="00227E2F" w:rsidP="004E04B7">
            <w:pPr>
              <w:spacing w:after="0"/>
              <w:rPr>
                <w:lang w:val="en-US"/>
              </w:rPr>
            </w:pPr>
          </w:p>
          <w:p w14:paraId="6624CDA9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 xml:space="preserve">1: </w:t>
            </w:r>
            <w:proofErr w:type="spellStart"/>
            <w:r w:rsidRPr="00EF1256">
              <w:rPr>
                <w:i/>
                <w:iCs/>
                <w:lang w:val="en-US"/>
              </w:rPr>
              <w:t>Kostyushev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D, </w:t>
            </w:r>
            <w:proofErr w:type="spellStart"/>
            <w:r w:rsidRPr="00EF1256">
              <w:rPr>
                <w:i/>
                <w:iCs/>
                <w:lang w:val="en-US"/>
              </w:rPr>
              <w:t>Brezgin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S, </w:t>
            </w:r>
            <w:proofErr w:type="spellStart"/>
            <w:r w:rsidRPr="00EF1256">
              <w:rPr>
                <w:i/>
                <w:iCs/>
                <w:lang w:val="en-US"/>
              </w:rPr>
              <w:t>Kostyusheva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Ponomareva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N, </w:t>
            </w:r>
            <w:proofErr w:type="spellStart"/>
            <w:r w:rsidRPr="00EF1256">
              <w:rPr>
                <w:i/>
                <w:iCs/>
                <w:lang w:val="en-US"/>
              </w:rPr>
              <w:t>Bayurova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E, </w:t>
            </w:r>
            <w:proofErr w:type="spellStart"/>
            <w:r w:rsidRPr="00EF1256">
              <w:rPr>
                <w:i/>
                <w:iCs/>
                <w:lang w:val="en-US"/>
              </w:rPr>
              <w:t>Zakirova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N, </w:t>
            </w:r>
            <w:proofErr w:type="spellStart"/>
            <w:r w:rsidRPr="00EF1256">
              <w:rPr>
                <w:i/>
                <w:iCs/>
                <w:lang w:val="en-US"/>
              </w:rPr>
              <w:t>Kondrashova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Goptar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I, </w:t>
            </w:r>
            <w:proofErr w:type="spellStart"/>
            <w:r w:rsidRPr="00EF1256">
              <w:rPr>
                <w:i/>
                <w:iCs/>
                <w:lang w:val="en-US"/>
              </w:rPr>
              <w:t>Nikiforova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Sudina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Babin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Y, </w:t>
            </w:r>
            <w:proofErr w:type="spellStart"/>
            <w:r w:rsidRPr="00EF1256">
              <w:rPr>
                <w:i/>
                <w:iCs/>
                <w:lang w:val="en-US"/>
              </w:rPr>
              <w:t>Gordeychuk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I, </w:t>
            </w:r>
            <w:proofErr w:type="spellStart"/>
            <w:r w:rsidRPr="00EF1256">
              <w:rPr>
                <w:i/>
                <w:iCs/>
                <w:lang w:val="en-US"/>
              </w:rPr>
              <w:t>Lukashev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Zamyatnin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AA Jr, Ivanov A, Chulanov V. Transient and tunable </w:t>
            </w:r>
            <w:proofErr w:type="spellStart"/>
            <w:r w:rsidRPr="00EF1256">
              <w:rPr>
                <w:i/>
                <w:iCs/>
                <w:lang w:val="en-US"/>
              </w:rPr>
              <w:t>CRISPRa</w:t>
            </w:r>
            <w:proofErr w:type="spellEnd"/>
          </w:p>
          <w:p w14:paraId="2CF2B3CC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 xml:space="preserve">regulation of APOBEC/AID genes for targeting hepatitis B virus. Mol Ther Nucleic Acids. 2023 Apr </w:t>
            </w:r>
            <w:proofErr w:type="gramStart"/>
            <w:r w:rsidRPr="00EF1256">
              <w:rPr>
                <w:i/>
                <w:iCs/>
                <w:lang w:val="en-US"/>
              </w:rPr>
              <w:t>20;32:478</w:t>
            </w:r>
            <w:proofErr w:type="gramEnd"/>
            <w:r w:rsidRPr="00EF1256">
              <w:rPr>
                <w:i/>
                <w:iCs/>
                <w:lang w:val="en-US"/>
              </w:rPr>
              <w:t xml:space="preserve">-493. </w:t>
            </w:r>
            <w:proofErr w:type="spellStart"/>
            <w:r w:rsidRPr="00EF1256">
              <w:rPr>
                <w:i/>
                <w:iCs/>
                <w:lang w:val="en-US"/>
              </w:rPr>
              <w:t>doi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: 10.1016/j.omtn.2023.04.016. </w:t>
            </w:r>
          </w:p>
          <w:p w14:paraId="75E8660F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</w:p>
          <w:p w14:paraId="6FA03C31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 xml:space="preserve">2: Pimenov N, Kostyushev D, Komarova S, </w:t>
            </w:r>
            <w:proofErr w:type="spellStart"/>
            <w:r w:rsidRPr="00EF1256">
              <w:rPr>
                <w:i/>
                <w:iCs/>
                <w:lang w:val="en-US"/>
              </w:rPr>
              <w:t>Fomicheva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Urtikov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Belaia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O, </w:t>
            </w:r>
            <w:proofErr w:type="spellStart"/>
            <w:r w:rsidRPr="00EF1256">
              <w:rPr>
                <w:i/>
                <w:iCs/>
                <w:lang w:val="en-US"/>
              </w:rPr>
              <w:t>Umbetova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K, </w:t>
            </w:r>
            <w:proofErr w:type="spellStart"/>
            <w:r w:rsidRPr="00EF1256">
              <w:rPr>
                <w:i/>
                <w:iCs/>
                <w:lang w:val="en-US"/>
              </w:rPr>
              <w:t>Darvina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O, </w:t>
            </w:r>
            <w:proofErr w:type="spellStart"/>
            <w:r w:rsidRPr="00EF1256">
              <w:rPr>
                <w:i/>
                <w:iCs/>
                <w:lang w:val="en-US"/>
              </w:rPr>
              <w:t>Tsapkova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N, </w:t>
            </w:r>
            <w:proofErr w:type="spellStart"/>
            <w:r w:rsidRPr="00EF1256">
              <w:rPr>
                <w:i/>
                <w:iCs/>
                <w:lang w:val="en-US"/>
              </w:rPr>
              <w:t>Chulanov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V. Epidemiology and Genotype Distribution of Hepatitis C Virus in Russia. Pathogens. 2022 Dec 6;11(12):1482. </w:t>
            </w:r>
            <w:proofErr w:type="spellStart"/>
            <w:r w:rsidRPr="00EF1256">
              <w:rPr>
                <w:i/>
                <w:iCs/>
                <w:lang w:val="en-US"/>
              </w:rPr>
              <w:t>doi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: 10.3390/pathogens11121482. </w:t>
            </w:r>
          </w:p>
          <w:p w14:paraId="71320F9F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</w:p>
          <w:p w14:paraId="288E2F4A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 xml:space="preserve">3: </w:t>
            </w:r>
            <w:proofErr w:type="spellStart"/>
            <w:r w:rsidRPr="00EF1256">
              <w:rPr>
                <w:i/>
                <w:iCs/>
                <w:lang w:val="en-US"/>
              </w:rPr>
              <w:t>Manuylov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V, </w:t>
            </w:r>
            <w:proofErr w:type="spellStart"/>
            <w:r w:rsidRPr="00EF1256">
              <w:rPr>
                <w:i/>
                <w:iCs/>
                <w:lang w:val="en-US"/>
              </w:rPr>
              <w:t>Chulanov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V, Bezuglova L, Chub E, Karlsen A, </w:t>
            </w:r>
            <w:proofErr w:type="spellStart"/>
            <w:r w:rsidRPr="00EF1256">
              <w:rPr>
                <w:i/>
                <w:iCs/>
                <w:lang w:val="en-US"/>
              </w:rPr>
              <w:t>Kyuregyan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K, </w:t>
            </w:r>
            <w:proofErr w:type="spellStart"/>
            <w:r w:rsidRPr="00EF1256">
              <w:rPr>
                <w:i/>
                <w:iCs/>
                <w:lang w:val="en-US"/>
              </w:rPr>
              <w:t>Ostankova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Y, Semenov A, Osipova L, </w:t>
            </w:r>
            <w:proofErr w:type="spellStart"/>
            <w:r w:rsidRPr="00EF1256">
              <w:rPr>
                <w:i/>
                <w:iCs/>
                <w:lang w:val="en-US"/>
              </w:rPr>
              <w:t>Tallo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T, </w:t>
            </w:r>
            <w:proofErr w:type="spellStart"/>
            <w:r w:rsidRPr="00EF1256">
              <w:rPr>
                <w:i/>
                <w:iCs/>
                <w:lang w:val="en-US"/>
              </w:rPr>
              <w:t>Netesova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I, Tkachuk A, </w:t>
            </w:r>
            <w:proofErr w:type="spellStart"/>
            <w:r w:rsidRPr="00EF1256">
              <w:rPr>
                <w:i/>
                <w:iCs/>
                <w:lang w:val="en-US"/>
              </w:rPr>
              <w:t>Gushchin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V, </w:t>
            </w:r>
            <w:proofErr w:type="spellStart"/>
            <w:r w:rsidRPr="00EF1256">
              <w:rPr>
                <w:i/>
                <w:iCs/>
                <w:lang w:val="en-US"/>
              </w:rPr>
              <w:t>Netesov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S, </w:t>
            </w:r>
            <w:proofErr w:type="spellStart"/>
            <w:r w:rsidRPr="00EF1256">
              <w:rPr>
                <w:i/>
                <w:iCs/>
                <w:lang w:val="en-US"/>
              </w:rPr>
              <w:t>Magnius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LO, Norder H. Genetic Diversity and Possible Origins of the Hepatitis B Virus in Siberian Natives. Viruses. 2022 Nov 7;14(11):2465. </w:t>
            </w:r>
            <w:proofErr w:type="spellStart"/>
            <w:r w:rsidRPr="00EF1256">
              <w:rPr>
                <w:i/>
                <w:iCs/>
                <w:lang w:val="en-US"/>
              </w:rPr>
              <w:t>doi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: 10.3390/v14112465. </w:t>
            </w:r>
          </w:p>
          <w:p w14:paraId="71B8EC57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</w:p>
          <w:p w14:paraId="5E4FCA3A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 xml:space="preserve">4: </w:t>
            </w:r>
            <w:proofErr w:type="spellStart"/>
            <w:r w:rsidRPr="00EF1256">
              <w:rPr>
                <w:i/>
                <w:iCs/>
                <w:lang w:val="en-US"/>
              </w:rPr>
              <w:t>Chulanov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V, </w:t>
            </w:r>
            <w:proofErr w:type="spellStart"/>
            <w:r w:rsidRPr="00EF1256">
              <w:rPr>
                <w:i/>
                <w:iCs/>
                <w:lang w:val="en-US"/>
              </w:rPr>
              <w:t>Kostyusheva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Brezgin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S, </w:t>
            </w:r>
            <w:proofErr w:type="spellStart"/>
            <w:r w:rsidRPr="00EF1256">
              <w:rPr>
                <w:i/>
                <w:iCs/>
                <w:lang w:val="en-US"/>
              </w:rPr>
              <w:t>Ponomareva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N, </w:t>
            </w:r>
            <w:proofErr w:type="spellStart"/>
            <w:r w:rsidRPr="00EF1256">
              <w:rPr>
                <w:i/>
                <w:iCs/>
                <w:lang w:val="en-US"/>
              </w:rPr>
              <w:t>Gegechkori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V, </w:t>
            </w:r>
            <w:proofErr w:type="spellStart"/>
            <w:r w:rsidRPr="00EF1256">
              <w:rPr>
                <w:i/>
                <w:iCs/>
                <w:lang w:val="en-US"/>
              </w:rPr>
              <w:t>Volchkova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E, Pimenov N, Kostyushev D. CRISPR Screening: Molecular Tools for Studying Virus-Host Interactions. Viruses. 2021 Nov 11;13(11):2258. </w:t>
            </w:r>
            <w:proofErr w:type="spellStart"/>
            <w:r w:rsidRPr="00EF1256">
              <w:rPr>
                <w:i/>
                <w:iCs/>
                <w:lang w:val="en-US"/>
              </w:rPr>
              <w:t>doi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: 10.3390/v13112258. </w:t>
            </w:r>
          </w:p>
          <w:p w14:paraId="360E0064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</w:p>
          <w:p w14:paraId="3F2419B0" w14:textId="5231D6B1" w:rsidR="004E04B7" w:rsidRPr="00EF1256" w:rsidRDefault="004E04B7" w:rsidP="004E04B7">
            <w:pPr>
              <w:spacing w:after="0"/>
              <w:rPr>
                <w:i/>
                <w:iCs/>
              </w:rPr>
            </w:pPr>
            <w:r w:rsidRPr="00EF1256">
              <w:rPr>
                <w:i/>
                <w:iCs/>
                <w:lang w:val="en-US"/>
              </w:rPr>
              <w:t xml:space="preserve">5: </w:t>
            </w:r>
            <w:proofErr w:type="spellStart"/>
            <w:r w:rsidRPr="00EF1256">
              <w:rPr>
                <w:i/>
                <w:iCs/>
                <w:lang w:val="en-US"/>
              </w:rPr>
              <w:t>Kostyushev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D, </w:t>
            </w:r>
            <w:proofErr w:type="spellStart"/>
            <w:r w:rsidRPr="00EF1256">
              <w:rPr>
                <w:i/>
                <w:iCs/>
                <w:lang w:val="en-US"/>
              </w:rPr>
              <w:t>Kostyusheva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A, </w:t>
            </w:r>
            <w:proofErr w:type="spellStart"/>
            <w:r w:rsidRPr="00EF1256">
              <w:rPr>
                <w:i/>
                <w:iCs/>
                <w:lang w:val="en-US"/>
              </w:rPr>
              <w:t>Ponomareva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N, </w:t>
            </w:r>
            <w:proofErr w:type="spellStart"/>
            <w:r w:rsidRPr="00EF1256">
              <w:rPr>
                <w:i/>
                <w:iCs/>
                <w:lang w:val="en-US"/>
              </w:rPr>
              <w:t>Brezgin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S, </w:t>
            </w:r>
            <w:proofErr w:type="spellStart"/>
            <w:r w:rsidRPr="00EF1256">
              <w:rPr>
                <w:i/>
                <w:iCs/>
                <w:lang w:val="en-US"/>
              </w:rPr>
              <w:t>Chulanov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 V. CRISPR/Cas and Hepatitis B Therapy: Technological Advances and Practical Barriers. Nucleic Acid Ther. 2022 Feb;32(1):14-28. </w:t>
            </w:r>
            <w:proofErr w:type="spellStart"/>
            <w:r w:rsidRPr="00EF1256">
              <w:rPr>
                <w:i/>
                <w:iCs/>
                <w:lang w:val="en-US"/>
              </w:rPr>
              <w:t>doi</w:t>
            </w:r>
            <w:proofErr w:type="spellEnd"/>
            <w:r w:rsidRPr="00EF1256">
              <w:rPr>
                <w:i/>
                <w:iCs/>
                <w:lang w:val="en-US"/>
              </w:rPr>
              <w:t xml:space="preserve">: 10.1089/nat.2021.0075. </w:t>
            </w:r>
          </w:p>
        </w:tc>
      </w:tr>
      <w:tr w:rsidR="004E04B7" w:rsidRPr="00EF1256" w14:paraId="73C81A97" w14:textId="77777777" w:rsidTr="00DE5B29">
        <w:trPr>
          <w:trHeight w:val="553"/>
        </w:trPr>
        <w:tc>
          <w:tcPr>
            <w:tcW w:w="3371" w:type="dxa"/>
            <w:vAlign w:val="center"/>
          </w:tcPr>
          <w:p w14:paraId="2DE9003B" w14:textId="77777777" w:rsidR="004E04B7" w:rsidRPr="00EF1256" w:rsidRDefault="004E04B7" w:rsidP="004E04B7">
            <w:pPr>
              <w:spacing w:after="0"/>
              <w:rPr>
                <w:color w:val="000000"/>
              </w:rPr>
            </w:pPr>
          </w:p>
        </w:tc>
        <w:tc>
          <w:tcPr>
            <w:tcW w:w="6552" w:type="dxa"/>
            <w:shd w:val="clear" w:color="auto" w:fill="auto"/>
            <w:noWrap/>
          </w:tcPr>
          <w:p w14:paraId="739C4DFC" w14:textId="07308C34" w:rsidR="004E04B7" w:rsidRPr="00EF1256" w:rsidRDefault="004E04B7" w:rsidP="004E04B7">
            <w:pPr>
              <w:spacing w:after="0"/>
              <w:rPr>
                <w:color w:val="000000"/>
                <w:lang w:val="en-US"/>
              </w:rPr>
            </w:pPr>
            <w:r w:rsidRPr="00EF1256">
              <w:rPr>
                <w:color w:val="000000"/>
                <w:lang w:val="en-US"/>
              </w:rPr>
              <w:t>Results of intellectual activity</w:t>
            </w:r>
            <w:r w:rsidR="00227E2F" w:rsidRPr="00EF1256">
              <w:rPr>
                <w:color w:val="000000"/>
                <w:lang w:val="en-US"/>
              </w:rPr>
              <w:t>:</w:t>
            </w:r>
          </w:p>
          <w:p w14:paraId="7CB615C3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>1. Patent RU 2 652 899 C1. RNA guides to suppress the replication of the hepatitis B virus and to eliminate the hepatitis B virus from the host cell;</w:t>
            </w:r>
          </w:p>
          <w:p w14:paraId="706DE1FB" w14:textId="77777777" w:rsidR="004E04B7" w:rsidRPr="00EF1256" w:rsidRDefault="004E04B7" w:rsidP="004E04B7">
            <w:pPr>
              <w:spacing w:after="0"/>
              <w:rPr>
                <w:i/>
                <w:iCs/>
                <w:lang w:val="en-US"/>
              </w:rPr>
            </w:pPr>
            <w:r w:rsidRPr="00EF1256">
              <w:rPr>
                <w:i/>
                <w:iCs/>
                <w:lang w:val="en-US"/>
              </w:rPr>
              <w:t>2. Patent RU 2 703 532 C1. A system for activating human cytidine deaminases APOBEC/AID and/or human uracil-DNA glycosylase UNG and its use for eliminating ccc DNA of the hepatitis B virus from human cells, in particular from hepatocytes;</w:t>
            </w:r>
          </w:p>
          <w:p w14:paraId="38F395D7" w14:textId="42835C09" w:rsidR="004E04B7" w:rsidRPr="00EF1256" w:rsidRDefault="004E04B7" w:rsidP="004E04B7">
            <w:pPr>
              <w:spacing w:after="0"/>
              <w:rPr>
                <w:lang w:val="en-US"/>
              </w:rPr>
            </w:pPr>
            <w:r w:rsidRPr="00EF1256">
              <w:rPr>
                <w:i/>
                <w:iCs/>
                <w:lang w:val="en-US"/>
              </w:rPr>
              <w:t xml:space="preserve">3. Patent RU 2 694 396 C1. St10 guide RNA for use in the highly specific Streptococcus thermophilus CRISPR/Cas9 (StCas9) </w:t>
            </w:r>
            <w:r w:rsidRPr="00EF1256">
              <w:rPr>
                <w:i/>
                <w:iCs/>
                <w:lang w:val="en-US"/>
              </w:rPr>
              <w:lastRenderedPageBreak/>
              <w:t>nuclease system and the use of said guide RNA and StCas9 protein to suppress the expression of the hepatitis B virus in a host cell and to eliminate viral DNA from the host cell.</w:t>
            </w:r>
          </w:p>
        </w:tc>
      </w:tr>
    </w:tbl>
    <w:p w14:paraId="01BB35D4" w14:textId="77777777" w:rsidR="00334CF9" w:rsidRPr="00EF1256" w:rsidRDefault="00334CF9" w:rsidP="009932FE">
      <w:pPr>
        <w:rPr>
          <w:lang w:val="en-US"/>
        </w:rPr>
      </w:pPr>
    </w:p>
    <w:sectPr w:rsidR="00334CF9" w:rsidRPr="00EF1256" w:rsidSect="00C55CAC">
      <w:footerReference w:type="even" r:id="rId9"/>
      <w:footerReference w:type="default" r:id="rId10"/>
      <w:pgSz w:w="11900" w:h="16840"/>
      <w:pgMar w:top="851" w:right="84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8075C" w14:textId="77777777" w:rsidR="00A618AC" w:rsidRDefault="00A618AC">
      <w:pPr>
        <w:spacing w:after="0"/>
      </w:pPr>
      <w:r>
        <w:separator/>
      </w:r>
    </w:p>
  </w:endnote>
  <w:endnote w:type="continuationSeparator" w:id="0">
    <w:p w14:paraId="1AAE15A3" w14:textId="77777777" w:rsidR="00A618AC" w:rsidRDefault="00A618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552231992"/>
      <w:docPartObj>
        <w:docPartGallery w:val="Page Numbers (Bottom of Page)"/>
        <w:docPartUnique/>
      </w:docPartObj>
    </w:sdtPr>
    <w:sdtContent>
      <w:p w14:paraId="498DF76E" w14:textId="77777777" w:rsidR="0053609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5A057C" w14:textId="77777777" w:rsidR="00536090" w:rsidRDefault="00536090" w:rsidP="00D01A5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1554376702"/>
      <w:docPartObj>
        <w:docPartGallery w:val="Page Numbers (Bottom of Page)"/>
        <w:docPartUnique/>
      </w:docPartObj>
    </w:sdtPr>
    <w:sdtContent>
      <w:p w14:paraId="2F5DA158" w14:textId="21EFD6E6" w:rsidR="00536090" w:rsidRDefault="00B756DB" w:rsidP="006370AD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A0C7D"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60368FD" w14:textId="77777777" w:rsidR="00536090" w:rsidRDefault="00536090" w:rsidP="00D01A5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AC848" w14:textId="77777777" w:rsidR="00A618AC" w:rsidRDefault="00A618AC">
      <w:pPr>
        <w:spacing w:after="0"/>
      </w:pPr>
      <w:r>
        <w:separator/>
      </w:r>
    </w:p>
  </w:footnote>
  <w:footnote w:type="continuationSeparator" w:id="0">
    <w:p w14:paraId="26CA6244" w14:textId="77777777" w:rsidR="00A618AC" w:rsidRDefault="00A618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A481E"/>
    <w:multiLevelType w:val="hybridMultilevel"/>
    <w:tmpl w:val="F7D44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B464C"/>
    <w:multiLevelType w:val="hybridMultilevel"/>
    <w:tmpl w:val="006A3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0B1CF9"/>
    <w:multiLevelType w:val="hybridMultilevel"/>
    <w:tmpl w:val="83C4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364E3F"/>
    <w:multiLevelType w:val="hybridMultilevel"/>
    <w:tmpl w:val="AE8E0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996103">
    <w:abstractNumId w:val="0"/>
  </w:num>
  <w:num w:numId="2" w16cid:durableId="605626071">
    <w:abstractNumId w:val="3"/>
  </w:num>
  <w:num w:numId="3" w16cid:durableId="925382776">
    <w:abstractNumId w:val="1"/>
  </w:num>
  <w:num w:numId="4" w16cid:durableId="711921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DB"/>
    <w:rsid w:val="000021A0"/>
    <w:rsid w:val="00062064"/>
    <w:rsid w:val="0007348D"/>
    <w:rsid w:val="00076173"/>
    <w:rsid w:val="00080363"/>
    <w:rsid w:val="00084771"/>
    <w:rsid w:val="000C6EB3"/>
    <w:rsid w:val="001A2AC1"/>
    <w:rsid w:val="001A2BCE"/>
    <w:rsid w:val="001B3954"/>
    <w:rsid w:val="001E3C4E"/>
    <w:rsid w:val="001F00A9"/>
    <w:rsid w:val="00200ADC"/>
    <w:rsid w:val="00227E2F"/>
    <w:rsid w:val="00236C0D"/>
    <w:rsid w:val="00266DBA"/>
    <w:rsid w:val="002753F6"/>
    <w:rsid w:val="002955D1"/>
    <w:rsid w:val="002A66F9"/>
    <w:rsid w:val="00305558"/>
    <w:rsid w:val="00334CF9"/>
    <w:rsid w:val="003801BF"/>
    <w:rsid w:val="00383611"/>
    <w:rsid w:val="00393AB6"/>
    <w:rsid w:val="003A0C7D"/>
    <w:rsid w:val="003E7976"/>
    <w:rsid w:val="003F58AD"/>
    <w:rsid w:val="00415F4A"/>
    <w:rsid w:val="00430381"/>
    <w:rsid w:val="00432894"/>
    <w:rsid w:val="00443334"/>
    <w:rsid w:val="00462509"/>
    <w:rsid w:val="00472032"/>
    <w:rsid w:val="00477A8D"/>
    <w:rsid w:val="004A1BB4"/>
    <w:rsid w:val="004A29F6"/>
    <w:rsid w:val="004C13E7"/>
    <w:rsid w:val="004D0B99"/>
    <w:rsid w:val="004E04B7"/>
    <w:rsid w:val="00536090"/>
    <w:rsid w:val="00574174"/>
    <w:rsid w:val="00590B56"/>
    <w:rsid w:val="005A0E05"/>
    <w:rsid w:val="005C5748"/>
    <w:rsid w:val="006120C6"/>
    <w:rsid w:val="00612B32"/>
    <w:rsid w:val="00614D2B"/>
    <w:rsid w:val="006871A0"/>
    <w:rsid w:val="006D1128"/>
    <w:rsid w:val="00720431"/>
    <w:rsid w:val="007501B2"/>
    <w:rsid w:val="00784EB3"/>
    <w:rsid w:val="00791150"/>
    <w:rsid w:val="00794773"/>
    <w:rsid w:val="007C6BAB"/>
    <w:rsid w:val="007D57B1"/>
    <w:rsid w:val="007F07F2"/>
    <w:rsid w:val="0080614F"/>
    <w:rsid w:val="00843783"/>
    <w:rsid w:val="00877AD3"/>
    <w:rsid w:val="008971A2"/>
    <w:rsid w:val="008D0736"/>
    <w:rsid w:val="008D20D8"/>
    <w:rsid w:val="008F6B77"/>
    <w:rsid w:val="009932FE"/>
    <w:rsid w:val="009E2256"/>
    <w:rsid w:val="00A222F3"/>
    <w:rsid w:val="00A3702F"/>
    <w:rsid w:val="00A618AC"/>
    <w:rsid w:val="00A85F6F"/>
    <w:rsid w:val="00AC00ED"/>
    <w:rsid w:val="00AD01EB"/>
    <w:rsid w:val="00AE2D77"/>
    <w:rsid w:val="00B30B12"/>
    <w:rsid w:val="00B406BB"/>
    <w:rsid w:val="00B572F5"/>
    <w:rsid w:val="00B60CF3"/>
    <w:rsid w:val="00B756DB"/>
    <w:rsid w:val="00B82BE2"/>
    <w:rsid w:val="00BD57C7"/>
    <w:rsid w:val="00C55CAC"/>
    <w:rsid w:val="00C6461A"/>
    <w:rsid w:val="00CB7DA5"/>
    <w:rsid w:val="00CC23DD"/>
    <w:rsid w:val="00CC4E04"/>
    <w:rsid w:val="00CD07D1"/>
    <w:rsid w:val="00CD3349"/>
    <w:rsid w:val="00CE5F7C"/>
    <w:rsid w:val="00D012D4"/>
    <w:rsid w:val="00DA4797"/>
    <w:rsid w:val="00DA61AA"/>
    <w:rsid w:val="00DD0582"/>
    <w:rsid w:val="00E41FC2"/>
    <w:rsid w:val="00EB2835"/>
    <w:rsid w:val="00ED1437"/>
    <w:rsid w:val="00EF1256"/>
    <w:rsid w:val="00F31B6E"/>
    <w:rsid w:val="00F53AB8"/>
    <w:rsid w:val="00F6397F"/>
    <w:rsid w:val="00F81FEA"/>
    <w:rsid w:val="00FA5B8B"/>
    <w:rsid w:val="00FC4785"/>
    <w:rsid w:val="00FE42F1"/>
    <w:rsid w:val="00FF4767"/>
    <w:rsid w:val="09AFD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545FE"/>
  <w15:chartTrackingRefBased/>
  <w15:docId w15:val="{4D544F12-D571-3B4D-A9A0-C0CFD343F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56DB"/>
    <w:pPr>
      <w:spacing w:after="120"/>
      <w:jc w:val="both"/>
    </w:pPr>
    <w:rPr>
      <w:rFonts w:ascii="Times New Roman" w:hAnsi="Times New Roman" w:cs="Times New Roman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D0582"/>
    <w:pPr>
      <w:keepNext/>
      <w:keepLines/>
      <w:pageBreakBefore/>
      <w:pBdr>
        <w:bottom w:val="single" w:sz="4" w:space="1" w:color="auto"/>
      </w:pBdr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DD0582"/>
    <w:pPr>
      <w:keepNext/>
      <w:keepLines/>
      <w:pBdr>
        <w:bottom w:val="single" w:sz="4" w:space="1" w:color="auto"/>
      </w:pBdr>
      <w:spacing w:before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DD0582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DD05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D0582"/>
    <w:rPr>
      <w:rFonts w:ascii="Times New Roman" w:eastAsiaTheme="majorEastAsia" w:hAnsi="Times New Roman" w:cstheme="majorBidi"/>
      <w:b/>
      <w:bCs/>
    </w:rPr>
  </w:style>
  <w:style w:type="character" w:customStyle="1" w:styleId="10">
    <w:name w:val="Заголовок 1 Знак"/>
    <w:basedOn w:val="a0"/>
    <w:link w:val="1"/>
    <w:uiPriority w:val="9"/>
    <w:rsid w:val="00DD0582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DD0582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D05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3">
    <w:name w:val="List Paragraph"/>
    <w:basedOn w:val="a"/>
    <w:uiPriority w:val="34"/>
    <w:qFormat/>
    <w:rsid w:val="00B756D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footer"/>
    <w:basedOn w:val="a"/>
    <w:link w:val="a5"/>
    <w:uiPriority w:val="99"/>
    <w:unhideWhenUsed/>
    <w:rsid w:val="00B756DB"/>
    <w:pPr>
      <w:tabs>
        <w:tab w:val="center" w:pos="4677"/>
        <w:tab w:val="right" w:pos="9355"/>
      </w:tabs>
      <w:spacing w:after="0"/>
    </w:pPr>
  </w:style>
  <w:style w:type="character" w:customStyle="1" w:styleId="a5">
    <w:name w:val="Нижний колонтитул Знак"/>
    <w:basedOn w:val="a0"/>
    <w:link w:val="a4"/>
    <w:uiPriority w:val="99"/>
    <w:rsid w:val="00B756DB"/>
    <w:rPr>
      <w:rFonts w:ascii="Times New Roman" w:hAnsi="Times New Roman" w:cs="Times New Roman"/>
      <w:lang w:eastAsia="ru-RU"/>
    </w:rPr>
  </w:style>
  <w:style w:type="character" w:styleId="a6">
    <w:name w:val="page number"/>
    <w:basedOn w:val="a0"/>
    <w:uiPriority w:val="99"/>
    <w:semiHidden/>
    <w:unhideWhenUsed/>
    <w:rsid w:val="00B756DB"/>
  </w:style>
  <w:style w:type="character" w:styleId="a7">
    <w:name w:val="annotation reference"/>
    <w:basedOn w:val="a0"/>
    <w:uiPriority w:val="99"/>
    <w:semiHidden/>
    <w:unhideWhenUsed/>
    <w:rsid w:val="008D20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20D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20D8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20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20D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D20D8"/>
    <w:pPr>
      <w:spacing w:after="0"/>
    </w:pPr>
    <w:rPr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D20D8"/>
    <w:rPr>
      <w:rFonts w:ascii="Times New Roman" w:hAnsi="Times New Roman" w:cs="Times New Roman"/>
      <w:sz w:val="18"/>
      <w:szCs w:val="18"/>
      <w:lang w:eastAsia="ru-RU"/>
    </w:rPr>
  </w:style>
  <w:style w:type="character" w:styleId="ae">
    <w:name w:val="Hyperlink"/>
    <w:basedOn w:val="a0"/>
    <w:uiPriority w:val="99"/>
    <w:unhideWhenUsed/>
    <w:rsid w:val="00CE5F7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E5F7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CE5F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Григорий Язев</dc:creator>
  <cp:keywords/>
  <dc:description/>
  <cp:lastModifiedBy>Victoria Morozova</cp:lastModifiedBy>
  <cp:revision>2</cp:revision>
  <dcterms:created xsi:type="dcterms:W3CDTF">2023-10-06T07:48:00Z</dcterms:created>
  <dcterms:modified xsi:type="dcterms:W3CDTF">2023-10-06T07:48:00Z</dcterms:modified>
</cp:coreProperties>
</file>