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0" w:rsidRDefault="00F54ED0" w:rsidP="00F54ED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F54ED0" w:rsidRDefault="00F54ED0" w:rsidP="00F54ED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F54ED0" w:rsidRDefault="00F54ED0" w:rsidP="00F54ED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5B0FF4" w:rsidRPr="005B0FF4" w:rsidRDefault="005B0FF4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B0FF4">
        <w:rPr>
          <w:rFonts w:ascii="Times New Roman" w:hAnsi="Times New Roman" w:cs="Times New Roman"/>
          <w:b/>
        </w:rPr>
        <w:t>31.08.67 Хирургия</w:t>
      </w:r>
      <w:r w:rsidRPr="005B0FF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Default="00F54ED0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F54ED0" w:rsidRPr="009D0BFF" w:rsidRDefault="00F54ED0" w:rsidP="00F54ED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5B0FF4" w:rsidRPr="005B0FF4" w:rsidRDefault="00B417A5" w:rsidP="005B0FF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5B0FF4" w:rsidRPr="005B0FF4">
        <w:rPr>
          <w:rFonts w:ascii="Times New Roman" w:hAnsi="Times New Roman" w:cs="Times New Roman"/>
        </w:rPr>
        <w:t>31.08.67 Хирургия</w:t>
      </w:r>
      <w:r w:rsidR="005B0FF4" w:rsidRPr="005B0FF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B417A5" w:rsidRPr="005C4BC7" w:rsidRDefault="005B0FF4" w:rsidP="005B0FF4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 </w:t>
      </w:r>
      <w:r w:rsidR="00B417A5" w:rsidRPr="005C4BC7">
        <w:rPr>
          <w:rFonts w:ascii="Times New Roman" w:hAnsi="Times New Roman" w:cs="Times New Roman"/>
          <w:color w:val="auto"/>
        </w:rPr>
        <w:t>(ординатура), укрупне</w:t>
      </w:r>
      <w:r w:rsidR="00B417A5">
        <w:rPr>
          <w:rFonts w:ascii="Times New Roman" w:hAnsi="Times New Roman" w:cs="Times New Roman"/>
          <w:color w:val="auto"/>
        </w:rPr>
        <w:t>нная группа специальностей 31.00.00</w:t>
      </w:r>
      <w:r w:rsidR="00B417A5"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5B0FF4">
        <w:rPr>
          <w:rFonts w:ascii="Times New Roman" w:hAnsi="Times New Roman" w:cs="Times New Roman"/>
        </w:rPr>
        <w:t>хирурга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5B0FF4" w:rsidRPr="005B0FF4">
        <w:rPr>
          <w:rFonts w:ascii="Times New Roman" w:hAnsi="Times New Roman" w:cs="Times New Roman"/>
        </w:rPr>
        <w:t>31.08.67 Хирургия</w:t>
      </w:r>
      <w:r w:rsidR="005B0FF4" w:rsidRPr="005B0F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94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945A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A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FF6B33" w:rsidRDefault="00E01B57" w:rsidP="00BD2FA8">
            <w:pPr>
              <w:rPr>
                <w:rFonts w:ascii="Times New Roman" w:hAnsi="Times New Roman"/>
                <w:b/>
              </w:rPr>
            </w:pPr>
            <w:r w:rsidRPr="00FF6B33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FF6B3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E01B57" w:rsidP="00FF6B33">
            <w:pPr>
              <w:jc w:val="center"/>
              <w:rPr>
                <w:rFonts w:ascii="Times New Roman" w:hAnsi="Times New Roman"/>
                <w:b/>
              </w:rPr>
            </w:pPr>
            <w:r w:rsidRPr="00FF6B3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F6B3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FF6B33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FF6B33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FF6B33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FF6B33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F6B33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FF6B33" w:rsidRDefault="00FF6B33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FF6B33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FF6B33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FF6B3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FF6B3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FF6B3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FF6B33" w:rsidRDefault="00FF6B33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FF6B33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F6B33" w:rsidRPr="008B5FCB" w:rsidTr="003E7940">
        <w:tc>
          <w:tcPr>
            <w:tcW w:w="558" w:type="pct"/>
          </w:tcPr>
          <w:p w:rsidR="00FF6B33" w:rsidRPr="008B5FCB" w:rsidRDefault="00FF6B33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FF6B33" w:rsidRPr="008B5FCB" w:rsidRDefault="00FF6B33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FF6B33" w:rsidRPr="003E7940" w:rsidRDefault="00FF6B3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FF6B33" w:rsidRPr="003E7940" w:rsidRDefault="00FF6B3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FF6B33" w:rsidRPr="003E7940" w:rsidRDefault="00FF6B3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FF6B33" w:rsidRPr="003E7940" w:rsidRDefault="00FF6B3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FF6B33" w:rsidRPr="003E7940" w:rsidRDefault="00FF6B3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FF6B33" w:rsidRPr="00D045F5" w:rsidRDefault="00FF6B3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FF6B33" w:rsidRPr="00D045F5" w:rsidRDefault="00FF6B3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FF6B33" w:rsidRPr="00B54EB9" w:rsidRDefault="00FF6B33" w:rsidP="00FF6B3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FF6B33" w:rsidRPr="00B54EB9" w:rsidRDefault="00FF6B33" w:rsidP="00FF6B3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FF6B3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FF6B33" w:rsidRPr="005D1417" w:rsidTr="007A0551">
        <w:trPr>
          <w:trHeight w:val="253"/>
        </w:trPr>
        <w:tc>
          <w:tcPr>
            <w:tcW w:w="272" w:type="pct"/>
            <w:vMerge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33" w:rsidRPr="006A4B39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FF6B33" w:rsidRPr="00CF26BD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CF26BD" w:rsidRDefault="00FF6B3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FF6B33" w:rsidRPr="006A4B39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FF6B33" w:rsidRPr="006A4B39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FF6B33" w:rsidRPr="006A4B39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FF6B33" w:rsidRPr="00CF26BD" w:rsidTr="007A0551"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CF26BD" w:rsidRDefault="00FF6B33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FF6B33" w:rsidRPr="00B54EB9" w:rsidRDefault="00FF6B33" w:rsidP="00FF6B3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FF6B3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FF6B33" w:rsidRPr="005D1417" w:rsidTr="007A0551">
        <w:trPr>
          <w:trHeight w:val="253"/>
        </w:trPr>
        <w:tc>
          <w:tcPr>
            <w:tcW w:w="272" w:type="pct"/>
            <w:vMerge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FF6B33" w:rsidRPr="005D1417" w:rsidRDefault="00FF6B3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33" w:rsidRPr="006A4B39" w:rsidTr="007A0551">
        <w:trPr>
          <w:trHeight w:val="227"/>
        </w:trPr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FF6B33" w:rsidRPr="006A4B39" w:rsidTr="007A0551">
        <w:trPr>
          <w:trHeight w:val="227"/>
        </w:trPr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FF6B33" w:rsidRPr="006A4B39" w:rsidTr="007A0551">
        <w:trPr>
          <w:trHeight w:val="227"/>
        </w:trPr>
        <w:tc>
          <w:tcPr>
            <w:tcW w:w="272" w:type="pct"/>
            <w:vAlign w:val="center"/>
          </w:tcPr>
          <w:p w:rsidR="00FF6B33" w:rsidRPr="005D1417" w:rsidRDefault="00FF6B3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FF6B33" w:rsidRPr="006A4B39" w:rsidRDefault="00FF6B3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FF6B33" w:rsidRPr="004B6810" w:rsidRDefault="00FF6B33" w:rsidP="00FF6B33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FF6B33" w:rsidRPr="00D045F5" w:rsidRDefault="00FF6B3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6E" w:rsidRDefault="0059376E" w:rsidP="008B5FCB">
      <w:r>
        <w:separator/>
      </w:r>
    </w:p>
  </w:endnote>
  <w:endnote w:type="continuationSeparator" w:id="0">
    <w:p w:rsidR="0059376E" w:rsidRDefault="0059376E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6E" w:rsidRDefault="0059376E" w:rsidP="008B5FCB">
      <w:r>
        <w:separator/>
      </w:r>
    </w:p>
  </w:footnote>
  <w:footnote w:type="continuationSeparator" w:id="0">
    <w:p w:rsidR="0059376E" w:rsidRDefault="0059376E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5B0FF4" w:rsidRPr="005B0FF4">
      <w:rPr>
        <w:rFonts w:ascii="Times New Roman" w:hAnsi="Times New Roman" w:cs="Times New Roman"/>
        <w:sz w:val="18"/>
        <w:szCs w:val="18"/>
      </w:rPr>
      <w:t>31.08.67 Хирургия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100577"/>
    <w:rsid w:val="001B0632"/>
    <w:rsid w:val="001B1670"/>
    <w:rsid w:val="001B5C19"/>
    <w:rsid w:val="001B7681"/>
    <w:rsid w:val="001C1358"/>
    <w:rsid w:val="00216242"/>
    <w:rsid w:val="00234AD5"/>
    <w:rsid w:val="0024410E"/>
    <w:rsid w:val="00266A03"/>
    <w:rsid w:val="002F645B"/>
    <w:rsid w:val="002F6B4B"/>
    <w:rsid w:val="00325200"/>
    <w:rsid w:val="003648BF"/>
    <w:rsid w:val="003A18FB"/>
    <w:rsid w:val="003E7940"/>
    <w:rsid w:val="00443F8C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9376E"/>
    <w:rsid w:val="005B0FF4"/>
    <w:rsid w:val="005D1905"/>
    <w:rsid w:val="00637122"/>
    <w:rsid w:val="0063740C"/>
    <w:rsid w:val="006468F3"/>
    <w:rsid w:val="00654073"/>
    <w:rsid w:val="00686FBE"/>
    <w:rsid w:val="006C3332"/>
    <w:rsid w:val="00707C9C"/>
    <w:rsid w:val="007945A9"/>
    <w:rsid w:val="00796955"/>
    <w:rsid w:val="007A21F0"/>
    <w:rsid w:val="007B6507"/>
    <w:rsid w:val="007B72A4"/>
    <w:rsid w:val="007C37CB"/>
    <w:rsid w:val="007F310C"/>
    <w:rsid w:val="008830D4"/>
    <w:rsid w:val="00894889"/>
    <w:rsid w:val="008B5FCB"/>
    <w:rsid w:val="0094778E"/>
    <w:rsid w:val="0098462D"/>
    <w:rsid w:val="00996BD2"/>
    <w:rsid w:val="009F5660"/>
    <w:rsid w:val="00A57DA4"/>
    <w:rsid w:val="00A71B1C"/>
    <w:rsid w:val="00AC745F"/>
    <w:rsid w:val="00AE46E0"/>
    <w:rsid w:val="00AF0C38"/>
    <w:rsid w:val="00B3261C"/>
    <w:rsid w:val="00B417A5"/>
    <w:rsid w:val="00B53CBE"/>
    <w:rsid w:val="00BD2FA8"/>
    <w:rsid w:val="00BE018C"/>
    <w:rsid w:val="00C15BA2"/>
    <w:rsid w:val="00C236F3"/>
    <w:rsid w:val="00C5035A"/>
    <w:rsid w:val="00C9768E"/>
    <w:rsid w:val="00CC5A90"/>
    <w:rsid w:val="00CC7041"/>
    <w:rsid w:val="00CE345F"/>
    <w:rsid w:val="00D045F5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54ED0"/>
    <w:rsid w:val="00F656E8"/>
    <w:rsid w:val="00F86434"/>
    <w:rsid w:val="00F9260D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FF6B33"/>
    <w:rPr>
      <w:b/>
      <w:bCs/>
    </w:rPr>
  </w:style>
  <w:style w:type="paragraph" w:customStyle="1" w:styleId="0">
    <w:name w:val="Перечисления 0"/>
    <w:basedOn w:val="a0"/>
    <w:rsid w:val="00FF6B33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5</cp:revision>
  <dcterms:created xsi:type="dcterms:W3CDTF">2019-04-03T08:29:00Z</dcterms:created>
  <dcterms:modified xsi:type="dcterms:W3CDTF">2019-04-10T11:05:00Z</dcterms:modified>
</cp:coreProperties>
</file>