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FFF8" w14:textId="77777777" w:rsidR="00BB2D17" w:rsidRDefault="00BB2D17" w:rsidP="009F6BC3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23C9AB5B" w14:textId="77777777" w:rsidR="00BB2D17" w:rsidRPr="00C55CAC" w:rsidRDefault="00BB2D17" w:rsidP="00BB2D17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>Структура научного профиля (портфолио) потенциальных научных руководителей участников трека аспирантуры Международной олимпиады Ассоциации «Глобальные университеты» для абитуриентов магистратуры и аспирантуры.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2D50DC" w:rsidRPr="00065285" w14:paraId="396F61C2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2B80329" w14:textId="235AF2FC" w:rsidR="002D50DC" w:rsidRPr="00B66C4B" w:rsidRDefault="002D50DC" w:rsidP="002D50DC">
            <w:pPr>
              <w:spacing w:after="0"/>
              <w:rPr>
                <w:color w:val="000000"/>
                <w:lang w:val="en-US"/>
              </w:rPr>
            </w:pPr>
            <w:r w:rsidRPr="002B1391">
              <w:rPr>
                <w:color w:val="000000"/>
              </w:rPr>
              <w:t>University</w:t>
            </w:r>
          </w:p>
        </w:tc>
        <w:tc>
          <w:tcPr>
            <w:tcW w:w="6552" w:type="dxa"/>
            <w:shd w:val="clear" w:color="auto" w:fill="auto"/>
            <w:noWrap/>
          </w:tcPr>
          <w:p w14:paraId="285E0194" w14:textId="77777777" w:rsidR="002D50DC" w:rsidRPr="00B66C4B" w:rsidRDefault="002D50DC" w:rsidP="002D50DC">
            <w:pPr>
              <w:spacing w:after="0"/>
              <w:jc w:val="left"/>
              <w:rPr>
                <w:color w:val="000000"/>
                <w:lang w:val="en-US"/>
              </w:rPr>
            </w:pPr>
            <w:r w:rsidRPr="00B66C4B">
              <w:rPr>
                <w:color w:val="000000"/>
                <w:lang w:val="en-US"/>
              </w:rPr>
              <w:t>I.M. Sechenov First Moscow State Medical University (Sechenov University)</w:t>
            </w:r>
          </w:p>
        </w:tc>
      </w:tr>
      <w:tr w:rsidR="002D50DC" w:rsidRPr="00B66C4B" w14:paraId="2E6062ED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010624E6" w14:textId="6FEDEB8A" w:rsidR="002D50DC" w:rsidRPr="002D50DC" w:rsidRDefault="002D50DC" w:rsidP="002D50DC">
            <w:pPr>
              <w:spacing w:after="0"/>
              <w:rPr>
                <w:color w:val="000000"/>
                <w:lang w:val="en-US"/>
              </w:rPr>
            </w:pPr>
            <w:r w:rsidRPr="002B1391">
              <w:rPr>
                <w:lang w:val="en-US"/>
              </w:rPr>
              <w:t>Level of English language proficiency</w:t>
            </w:r>
          </w:p>
        </w:tc>
        <w:tc>
          <w:tcPr>
            <w:tcW w:w="6552" w:type="dxa"/>
            <w:shd w:val="clear" w:color="auto" w:fill="auto"/>
            <w:noWrap/>
          </w:tcPr>
          <w:p w14:paraId="63C241BA" w14:textId="7666CFF8" w:rsidR="002D50DC" w:rsidRPr="00B66C4B" w:rsidRDefault="00065285" w:rsidP="002D50DC">
            <w:pPr>
              <w:spacing w:after="0"/>
              <w:jc w:val="left"/>
              <w:rPr>
                <w:color w:val="000000"/>
              </w:rPr>
            </w:pPr>
            <w:r>
              <w:rPr>
                <w:lang w:val="en-US"/>
              </w:rPr>
              <w:t>B1</w:t>
            </w:r>
          </w:p>
        </w:tc>
      </w:tr>
      <w:tr w:rsidR="002D50DC" w:rsidRPr="00B66C4B" w14:paraId="34F98EC9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2BFE1AF" w14:textId="4F321F22" w:rsidR="002D50DC" w:rsidRPr="002D50DC" w:rsidRDefault="002D50DC" w:rsidP="002D50DC">
            <w:pPr>
              <w:spacing w:after="0"/>
              <w:rPr>
                <w:color w:val="000000"/>
                <w:lang w:val="en-US"/>
              </w:rPr>
            </w:pPr>
            <w:r w:rsidRPr="002B1391">
              <w:rPr>
                <w:color w:val="000000"/>
                <w:lang w:val="en-US"/>
              </w:rPr>
              <w:t>The direction of training for which the graduate student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2EAC56FB" w14:textId="77777777" w:rsidR="002D50DC" w:rsidRDefault="00267606" w:rsidP="002D50DC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3.02 </w:t>
            </w:r>
            <w:r w:rsidR="002D50DC">
              <w:rPr>
                <w:color w:val="000000"/>
                <w:lang w:val="en-US"/>
              </w:rPr>
              <w:t>Clinical medicine</w:t>
            </w:r>
            <w:r>
              <w:rPr>
                <w:color w:val="000000"/>
              </w:rPr>
              <w:t>,</w:t>
            </w:r>
            <w:r w:rsidR="002D50DC">
              <w:rPr>
                <w:color w:val="000000"/>
                <w:lang w:val="en-US"/>
              </w:rPr>
              <w:t xml:space="preserve"> </w:t>
            </w:r>
            <w:r w:rsidR="002D50DC" w:rsidRPr="00B66C4B">
              <w:rPr>
                <w:color w:val="000000"/>
                <w:lang w:val="en-US"/>
              </w:rPr>
              <w:t>Oncology</w:t>
            </w:r>
          </w:p>
          <w:p w14:paraId="024DF636" w14:textId="77777777" w:rsidR="00065285" w:rsidRDefault="00065285" w:rsidP="002D50DC">
            <w:pPr>
              <w:spacing w:after="0"/>
              <w:jc w:val="left"/>
              <w:rPr>
                <w:color w:val="000000"/>
                <w:lang w:val="en-US"/>
              </w:rPr>
            </w:pPr>
          </w:p>
          <w:p w14:paraId="5641CA45" w14:textId="3E6FBF94" w:rsidR="00065285" w:rsidRPr="00B66C4B" w:rsidRDefault="00065285" w:rsidP="002D50DC">
            <w:pPr>
              <w:spacing w:after="0"/>
              <w:jc w:val="left"/>
              <w:rPr>
                <w:color w:val="000000"/>
                <w:lang w:val="en-US"/>
              </w:rPr>
            </w:pPr>
            <w:r w:rsidRPr="00426110">
              <w:rPr>
                <w:i/>
              </w:rPr>
              <w:t>3.1.13</w:t>
            </w:r>
            <w:r>
              <w:rPr>
                <w:i/>
              </w:rPr>
              <w:br/>
            </w:r>
            <w:r>
              <w:rPr>
                <w:i/>
                <w:color w:val="000000"/>
              </w:rPr>
              <w:t>3.1.6</w:t>
            </w:r>
          </w:p>
        </w:tc>
      </w:tr>
      <w:tr w:rsidR="002D50DC" w:rsidRPr="00065285" w14:paraId="6EA250CF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4E78710" w14:textId="6AB40B1E" w:rsidR="002D50DC" w:rsidRPr="002D50DC" w:rsidRDefault="002D50DC" w:rsidP="002D50DC">
            <w:pPr>
              <w:spacing w:after="0"/>
              <w:jc w:val="left"/>
              <w:rPr>
                <w:lang w:val="en-US"/>
              </w:rPr>
            </w:pPr>
            <w:r w:rsidRPr="002B1391">
              <w:rPr>
                <w:lang w:val="en-US"/>
              </w:rPr>
              <w:t>Code of the field of study for which the graduate student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40F24824" w14:textId="77777777" w:rsidR="00065285" w:rsidRPr="00065285" w:rsidRDefault="00065285" w:rsidP="00065285">
            <w:pPr>
              <w:spacing w:after="0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>1. Clinical and morphological assessment of combined photochemotherapy for urothelial cancer.</w:t>
            </w:r>
          </w:p>
          <w:p w14:paraId="19A51EFB" w14:textId="29C66306" w:rsidR="002D50DC" w:rsidRPr="00B66C4B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 xml:space="preserve">2. </w:t>
            </w:r>
            <w:proofErr w:type="spellStart"/>
            <w:r w:rsidRPr="00065285">
              <w:rPr>
                <w:color w:val="000000"/>
                <w:lang w:val="en-US"/>
              </w:rPr>
              <w:t>Phototheranostics</w:t>
            </w:r>
            <w:proofErr w:type="spellEnd"/>
            <w:r w:rsidRPr="00065285">
              <w:rPr>
                <w:color w:val="000000"/>
                <w:lang w:val="en-US"/>
              </w:rPr>
              <w:t xml:space="preserve"> of trophic disorders in obliterating atherosclerosis of the lower extremities.</w:t>
            </w:r>
          </w:p>
        </w:tc>
      </w:tr>
      <w:tr w:rsidR="002D50DC" w:rsidRPr="00065285" w14:paraId="32638B8A" w14:textId="77777777" w:rsidTr="003B67E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402F5EE" w14:textId="6F06FC8A" w:rsidR="002D50DC" w:rsidRPr="002D50DC" w:rsidRDefault="002D50DC" w:rsidP="002D50DC">
            <w:pPr>
              <w:spacing w:after="0"/>
              <w:jc w:val="left"/>
              <w:rPr>
                <w:lang w:val="en-US"/>
              </w:rPr>
            </w:pPr>
            <w:r w:rsidRPr="002B1391">
              <w:rPr>
                <w:lang w:val="en-US"/>
              </w:rPr>
              <w:t>List of research projects of a potential supervisor (participation/guidance)</w:t>
            </w:r>
          </w:p>
        </w:tc>
        <w:tc>
          <w:tcPr>
            <w:tcW w:w="6552" w:type="dxa"/>
            <w:shd w:val="clear" w:color="auto" w:fill="auto"/>
            <w:noWrap/>
          </w:tcPr>
          <w:p w14:paraId="7A459197" w14:textId="77777777" w:rsidR="00065285" w:rsidRPr="00065285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>1. Fluorescent diagnostics and photodynamic therapy of dysplasia of the head and neck organs.</w:t>
            </w:r>
          </w:p>
          <w:p w14:paraId="59EF576C" w14:textId="77777777" w:rsidR="00065285" w:rsidRPr="00065285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 xml:space="preserve">2. Clinical and morphological aspects of tumor </w:t>
            </w:r>
            <w:proofErr w:type="spellStart"/>
            <w:r w:rsidRPr="00065285">
              <w:rPr>
                <w:color w:val="000000"/>
                <w:lang w:val="en-US"/>
              </w:rPr>
              <w:t>pathomorphosis</w:t>
            </w:r>
            <w:proofErr w:type="spellEnd"/>
            <w:r w:rsidRPr="00065285">
              <w:rPr>
                <w:color w:val="000000"/>
                <w:lang w:val="en-US"/>
              </w:rPr>
              <w:t xml:space="preserve"> during </w:t>
            </w:r>
            <w:proofErr w:type="spellStart"/>
            <w:r w:rsidRPr="00065285">
              <w:rPr>
                <w:color w:val="000000"/>
                <w:lang w:val="en-US"/>
              </w:rPr>
              <w:t>phototheranostics</w:t>
            </w:r>
            <w:proofErr w:type="spellEnd"/>
            <w:r w:rsidRPr="00065285">
              <w:rPr>
                <w:color w:val="000000"/>
                <w:lang w:val="en-US"/>
              </w:rPr>
              <w:t xml:space="preserve"> of tumors</w:t>
            </w:r>
          </w:p>
          <w:p w14:paraId="4DF9B6F4" w14:textId="77777777" w:rsidR="00065285" w:rsidRPr="00065285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>3. Photodynamic decontamination to prevent infectious complications in surgery</w:t>
            </w:r>
          </w:p>
          <w:p w14:paraId="7FEC9DFB" w14:textId="77777777" w:rsidR="00065285" w:rsidRPr="00065285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 xml:space="preserve">4. Study of optimal doses of laser radiation to optimize </w:t>
            </w:r>
            <w:proofErr w:type="spellStart"/>
            <w:r w:rsidRPr="00065285">
              <w:rPr>
                <w:color w:val="000000"/>
                <w:lang w:val="en-US"/>
              </w:rPr>
              <w:t>phototheranostics</w:t>
            </w:r>
            <w:proofErr w:type="spellEnd"/>
          </w:p>
          <w:p w14:paraId="3375A33D" w14:textId="77777777" w:rsidR="00065285" w:rsidRPr="00065285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>5.Interstitial photodynamic therapy of head and neck tumors.</w:t>
            </w:r>
          </w:p>
          <w:p w14:paraId="43043B25" w14:textId="77777777" w:rsidR="00065285" w:rsidRPr="00065285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>6.ISG diagnostics of sentinel lymph nodes with a new domestic video fluorescent module for endoscopy and minimally invasive surgery.</w:t>
            </w:r>
          </w:p>
          <w:p w14:paraId="60A1987B" w14:textId="145DC812" w:rsidR="002D50DC" w:rsidRPr="002D50DC" w:rsidRDefault="00065285" w:rsidP="00065285">
            <w:pPr>
              <w:spacing w:after="0"/>
              <w:jc w:val="left"/>
              <w:rPr>
                <w:color w:val="000000"/>
                <w:lang w:val="en-US"/>
              </w:rPr>
            </w:pPr>
            <w:r w:rsidRPr="00065285">
              <w:rPr>
                <w:color w:val="000000"/>
                <w:lang w:val="en-US"/>
              </w:rPr>
              <w:t>7. Photodynamic anti-age therapy.</w:t>
            </w:r>
          </w:p>
        </w:tc>
      </w:tr>
      <w:tr w:rsidR="009876CA" w:rsidRPr="00065285" w14:paraId="03C63DF8" w14:textId="77777777" w:rsidTr="003B67E6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2FECF358" w14:textId="77777777" w:rsidR="009876CA" w:rsidRPr="002D50DC" w:rsidRDefault="009876CA" w:rsidP="003B67E6">
            <w:pPr>
              <w:spacing w:after="0"/>
              <w:rPr>
                <w:color w:val="000000"/>
                <w:lang w:val="en-US"/>
              </w:rPr>
            </w:pPr>
            <w:r w:rsidRPr="00B66C4B">
              <w:rPr>
                <w:color w:val="000000"/>
                <w:lang w:val="en-US"/>
              </w:rPr>
              <w:t> </w:t>
            </w:r>
          </w:p>
          <w:p w14:paraId="30403203" w14:textId="77777777" w:rsidR="009876CA" w:rsidRPr="002D50DC" w:rsidRDefault="009876CA" w:rsidP="003B67E6">
            <w:pPr>
              <w:spacing w:after="0"/>
              <w:rPr>
                <w:color w:val="000000"/>
                <w:lang w:val="en-US"/>
              </w:rPr>
            </w:pPr>
          </w:p>
          <w:p w14:paraId="29CB7C07" w14:textId="7EE9E6CD" w:rsidR="009876CA" w:rsidRPr="00B66C4B" w:rsidRDefault="00613697" w:rsidP="003B67E6">
            <w:pPr>
              <w:spacing w:after="0"/>
              <w:rPr>
                <w:color w:val="000000"/>
                <w:lang w:val="en-US"/>
              </w:rPr>
            </w:pPr>
            <w:r w:rsidRPr="00426110">
              <w:rPr>
                <w:noProof/>
                <w:color w:val="000000"/>
              </w:rPr>
              <w:drawing>
                <wp:inline distT="0" distB="0" distL="0" distR="0" wp14:anchorId="6E483E81" wp14:editId="6492DAC4">
                  <wp:extent cx="1377950" cy="2073275"/>
                  <wp:effectExtent l="0" t="0" r="0" b="0"/>
                  <wp:docPr id="1" name="Рисунок 5" descr="C:\Users\Artem\Desktop\Кафедра\186.-SHIRYAEV-A.A.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Artem\Desktop\Кафедра\186.-SHIRYAEV-A.A.1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61D156" w14:textId="77777777" w:rsidR="009876CA" w:rsidRPr="00B66C4B" w:rsidRDefault="009876CA" w:rsidP="003B67E6">
            <w:pPr>
              <w:spacing w:after="0"/>
              <w:rPr>
                <w:lang w:val="en-US"/>
              </w:rPr>
            </w:pPr>
          </w:p>
          <w:p w14:paraId="52AB8750" w14:textId="77777777" w:rsidR="009876CA" w:rsidRPr="00DA4D0F" w:rsidRDefault="009876CA" w:rsidP="009876CA">
            <w:pPr>
              <w:spacing w:after="0"/>
              <w:rPr>
                <w:lang w:val="en-US"/>
              </w:rPr>
            </w:pPr>
            <w:r w:rsidRPr="00DA4D0F">
              <w:rPr>
                <w:lang w:val="en-US"/>
              </w:rPr>
              <w:t>Research supervisor:</w:t>
            </w:r>
          </w:p>
          <w:p w14:paraId="1972E86C" w14:textId="7062AE90" w:rsidR="009876CA" w:rsidRPr="00DA4D0F" w:rsidRDefault="00613697" w:rsidP="009876CA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Shiryaev</w:t>
            </w:r>
            <w:proofErr w:type="spellEnd"/>
            <w:r>
              <w:rPr>
                <w:lang w:val="en-US"/>
              </w:rPr>
              <w:t xml:space="preserve"> A</w:t>
            </w:r>
            <w:r w:rsidRPr="00613697">
              <w:rPr>
                <w:lang w:val="en-US"/>
              </w:rPr>
              <w:t xml:space="preserve">. </w:t>
            </w:r>
            <w:r>
              <w:rPr>
                <w:lang w:val="en-US"/>
              </w:rPr>
              <w:t>Artem</w:t>
            </w:r>
            <w:r w:rsidR="009876CA" w:rsidRPr="00DA4D0F">
              <w:rPr>
                <w:lang w:val="en-US"/>
              </w:rPr>
              <w:t xml:space="preserve">, </w:t>
            </w:r>
          </w:p>
          <w:p w14:paraId="5512F0C5" w14:textId="684B4156" w:rsidR="009876CA" w:rsidRPr="00613697" w:rsidRDefault="009876CA" w:rsidP="009876CA">
            <w:pPr>
              <w:spacing w:after="0"/>
              <w:jc w:val="left"/>
              <w:rPr>
                <w:lang w:val="en-US"/>
              </w:rPr>
            </w:pPr>
            <w:r w:rsidRPr="00DA4D0F">
              <w:rPr>
                <w:lang w:val="en-US"/>
              </w:rPr>
              <w:t xml:space="preserve">Doctor of Science, </w:t>
            </w:r>
            <w:proofErr w:type="spellStart"/>
            <w:r w:rsidRPr="00DA4D0F">
              <w:rPr>
                <w:lang w:val="en-US"/>
              </w:rPr>
              <w:t>Sechenov</w:t>
            </w:r>
            <w:proofErr w:type="spellEnd"/>
            <w:r w:rsidRPr="00DA4D0F">
              <w:rPr>
                <w:lang w:val="en-US"/>
              </w:rPr>
              <w:t xml:space="preserve"> University</w:t>
            </w:r>
          </w:p>
          <w:p w14:paraId="09A8C44F" w14:textId="390BDE64" w:rsidR="009876CA" w:rsidRPr="00613697" w:rsidRDefault="009876CA" w:rsidP="003B67E6">
            <w:pPr>
              <w:spacing w:after="0"/>
              <w:jc w:val="left"/>
              <w:rPr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172313DC" w14:textId="37BD9519" w:rsidR="00267606" w:rsidRDefault="00267606" w:rsidP="003B67E6">
            <w:pPr>
              <w:spacing w:after="0"/>
              <w:jc w:val="center"/>
              <w:rPr>
                <w:color w:val="000000"/>
                <w:lang w:val="en-US"/>
              </w:rPr>
            </w:pPr>
            <w:r w:rsidRPr="00BB2D17">
              <w:rPr>
                <w:color w:val="000000"/>
                <w:lang w:val="en-US"/>
              </w:rPr>
              <w:lastRenderedPageBreak/>
              <w:t xml:space="preserve">3.02 </w:t>
            </w:r>
            <w:r>
              <w:rPr>
                <w:color w:val="000000"/>
                <w:lang w:val="en-US"/>
              </w:rPr>
              <w:t>Clinical medicine</w:t>
            </w:r>
            <w:r w:rsidRPr="00BB2D17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 w:rsidRPr="00B66C4B">
              <w:rPr>
                <w:color w:val="000000"/>
                <w:lang w:val="en-US"/>
              </w:rPr>
              <w:t>Oncology</w:t>
            </w:r>
          </w:p>
          <w:p w14:paraId="2A7FCC1D" w14:textId="7AD83A78" w:rsidR="009876CA" w:rsidRPr="00BB2D17" w:rsidRDefault="00065285" w:rsidP="003B67E6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Urology</w:t>
            </w:r>
          </w:p>
        </w:tc>
      </w:tr>
      <w:tr w:rsidR="009876CA" w:rsidRPr="00065285" w14:paraId="1D93AD70" w14:textId="77777777" w:rsidTr="003B67E6">
        <w:trPr>
          <w:trHeight w:val="802"/>
        </w:trPr>
        <w:tc>
          <w:tcPr>
            <w:tcW w:w="3371" w:type="dxa"/>
            <w:vMerge/>
            <w:noWrap/>
            <w:hideMark/>
          </w:tcPr>
          <w:p w14:paraId="674406DE" w14:textId="77777777" w:rsidR="009876CA" w:rsidRPr="00BB2D17" w:rsidRDefault="009876CA" w:rsidP="003B6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7C86032" w14:textId="0074DC32" w:rsidR="009876CA" w:rsidRPr="00267606" w:rsidRDefault="009876CA" w:rsidP="003B67E6">
            <w:pPr>
              <w:spacing w:after="0"/>
              <w:rPr>
                <w:color w:val="000000"/>
                <w:lang w:val="en-US"/>
              </w:rPr>
            </w:pPr>
            <w:r w:rsidRPr="00B66C4B">
              <w:rPr>
                <w:lang w:val="en-US"/>
              </w:rPr>
              <w:t>Supervisor</w:t>
            </w:r>
            <w:r w:rsidRPr="00267606">
              <w:rPr>
                <w:lang w:val="en-US"/>
              </w:rPr>
              <w:t>’</w:t>
            </w:r>
            <w:r w:rsidRPr="00B66C4B">
              <w:rPr>
                <w:lang w:val="en-US"/>
              </w:rPr>
              <w:t>s</w:t>
            </w:r>
            <w:r w:rsidRPr="00267606">
              <w:rPr>
                <w:lang w:val="en-US"/>
              </w:rPr>
              <w:t xml:space="preserve"> </w:t>
            </w:r>
            <w:r w:rsidRPr="00B66C4B">
              <w:rPr>
                <w:lang w:val="en-US"/>
              </w:rPr>
              <w:t>r</w:t>
            </w:r>
            <w:r w:rsidRPr="00B66C4B">
              <w:rPr>
                <w:color w:val="000000"/>
                <w:lang w:val="en-US"/>
              </w:rPr>
              <w:t>esearch</w:t>
            </w:r>
            <w:r w:rsidRPr="00267606">
              <w:rPr>
                <w:color w:val="000000"/>
                <w:lang w:val="en-US"/>
              </w:rPr>
              <w:t xml:space="preserve"> </w:t>
            </w:r>
            <w:r w:rsidRPr="00B66C4B">
              <w:rPr>
                <w:color w:val="000000"/>
                <w:lang w:val="en-US"/>
              </w:rPr>
              <w:t>interests</w:t>
            </w:r>
            <w:r w:rsidRPr="00267606">
              <w:rPr>
                <w:color w:val="000000"/>
                <w:lang w:val="en-US"/>
              </w:rPr>
              <w:t xml:space="preserve">: </w:t>
            </w:r>
          </w:p>
          <w:p w14:paraId="27CA7914" w14:textId="425DCEAB" w:rsidR="009876CA" w:rsidRPr="00B66C4B" w:rsidRDefault="00613697" w:rsidP="003B67E6">
            <w:pPr>
              <w:spacing w:after="0"/>
              <w:rPr>
                <w:color w:val="000000"/>
                <w:lang w:val="en-US"/>
              </w:rPr>
            </w:pPr>
            <w:r w:rsidRPr="00613697">
              <w:rPr>
                <w:color w:val="000000"/>
                <w:lang w:val="en-US"/>
              </w:rPr>
              <w:t>Treatment of patients using fluorescent diagnostic techniques and photodynamic therapy. Carrying out operations under ultrasound and fluoroscopy control.</w:t>
            </w:r>
          </w:p>
        </w:tc>
      </w:tr>
      <w:tr w:rsidR="009876CA" w:rsidRPr="00065285" w14:paraId="02B4E277" w14:textId="77777777" w:rsidTr="003B67E6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45716BDE" w14:textId="77777777" w:rsidR="009876CA" w:rsidRPr="00B66C4B" w:rsidRDefault="009876CA" w:rsidP="003B6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2B43F6BF" w14:textId="77777777" w:rsidR="009876CA" w:rsidRPr="00B66C4B" w:rsidRDefault="009876CA" w:rsidP="003B67E6">
            <w:pPr>
              <w:spacing w:after="0"/>
              <w:rPr>
                <w:color w:val="000000"/>
                <w:lang w:val="en-US"/>
              </w:rPr>
            </w:pPr>
            <w:r w:rsidRPr="00B66C4B">
              <w:rPr>
                <w:color w:val="000000"/>
                <w:lang w:val="en-US"/>
              </w:rPr>
              <w:t>Research highlights:</w:t>
            </w:r>
          </w:p>
          <w:p w14:paraId="6F4D474A" w14:textId="6BFBA7A8" w:rsidR="009876CA" w:rsidRPr="00B66C4B" w:rsidRDefault="00613697" w:rsidP="003B67E6">
            <w:pPr>
              <w:spacing w:after="0"/>
              <w:rPr>
                <w:i/>
                <w:iCs/>
                <w:lang w:val="en-US"/>
              </w:rPr>
            </w:pPr>
            <w:r w:rsidRPr="00613697">
              <w:rPr>
                <w:color w:val="000000"/>
                <w:lang w:val="en-US"/>
              </w:rPr>
              <w:t>A method for determining a tumor using a photosensitive substance (photosensitizer), laser irradiation and equipment that records the fluorescent image and concentration of the photosensitizer. Treatment of a tumor using photodynamic therapy, which causes necrosis and apoptosis of tumor cells.</w:t>
            </w:r>
          </w:p>
        </w:tc>
      </w:tr>
      <w:tr w:rsidR="002D50DC" w:rsidRPr="00065285" w14:paraId="43D53B9E" w14:textId="77777777" w:rsidTr="003B67E6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70609704" w14:textId="77777777" w:rsidR="002D50DC" w:rsidRPr="00B66C4B" w:rsidRDefault="002D50DC" w:rsidP="003B6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2D7AE388" w14:textId="04602079" w:rsidR="002D50DC" w:rsidRPr="00B66C4B" w:rsidRDefault="002D50DC" w:rsidP="003B67E6">
            <w:pPr>
              <w:spacing w:after="0"/>
              <w:rPr>
                <w:i/>
                <w:iCs/>
              </w:rPr>
            </w:pPr>
            <w:proofErr w:type="spellStart"/>
            <w:r w:rsidRPr="00B66C4B">
              <w:t>Supervisor’s</w:t>
            </w:r>
            <w:proofErr w:type="spellEnd"/>
            <w:r w:rsidRPr="00B66C4B">
              <w:t xml:space="preserve"> </w:t>
            </w:r>
            <w:proofErr w:type="spellStart"/>
            <w:r w:rsidRPr="00B66C4B">
              <w:t>main</w:t>
            </w:r>
            <w:proofErr w:type="spellEnd"/>
            <w:r w:rsidRPr="00B66C4B">
              <w:t xml:space="preserve"> </w:t>
            </w:r>
            <w:proofErr w:type="spellStart"/>
            <w:r w:rsidRPr="00B66C4B">
              <w:t>publications</w:t>
            </w:r>
            <w:proofErr w:type="spellEnd"/>
            <w:r w:rsidRPr="00B66C4B">
              <w:t xml:space="preserve">: </w:t>
            </w:r>
          </w:p>
          <w:p w14:paraId="7607E3B6" w14:textId="77777777" w:rsidR="00613697" w:rsidRPr="00426110" w:rsidRDefault="00613697" w:rsidP="00613697">
            <w:pPr>
              <w:pStyle w:val="a3"/>
              <w:numPr>
                <w:ilvl w:val="0"/>
                <w:numId w:val="3"/>
              </w:numPr>
              <w:spacing w:after="0"/>
              <w:rPr>
                <w:rStyle w:val="markedcontent"/>
                <w:rFonts w:ascii="Times New Roman" w:hAnsi="Times New Roman" w:cs="Times New Roman"/>
                <w:iCs/>
                <w:lang w:val="en-US"/>
              </w:rPr>
            </w:pPr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Artem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Shiryaev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Polina Alekseeva,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Kanamat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Efendiev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Dmitry Yakovlev,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Arkadii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Moskalev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Elizaveta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Kozlikina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Pavel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Kharnas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Igor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Reshetov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Vladimir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Levkin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Victor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Loshchenov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“Investigated spectral-fluorescent properties of endogenous porphyrins of the wild boar hepatobiliary system optimize the diagnostics and treatment of cholangiocarcinoma with FD and PDT,” </w:t>
            </w:r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Opt. Eng</w:t>
            </w:r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59(6), 061615 (2020),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: 10.1117/1.OE.59.6.061615</w:t>
            </w:r>
          </w:p>
          <w:p w14:paraId="27B7A9FD" w14:textId="77777777" w:rsidR="00613697" w:rsidRPr="00426110" w:rsidRDefault="00613697" w:rsidP="00613697">
            <w:pPr>
              <w:pStyle w:val="a3"/>
              <w:numPr>
                <w:ilvl w:val="0"/>
                <w:numId w:val="3"/>
              </w:numPr>
              <w:spacing w:after="0"/>
              <w:rPr>
                <w:rStyle w:val="markedcontent"/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Shiryaev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AA</w:t>
            </w:r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Musaev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GK,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Levkin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VV,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Reshetov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Loshchenov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MV, Alekseeva PM, Volkov VV,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Linkov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KG, Makarov VI,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Shchekoturov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Borodkin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AV,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VB. Combined treatment of nonresectable cholangiocarcinoma complicated by obstructive jaundice.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Photodiagnosis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Photodyn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2019 </w:t>
            </w:r>
            <w:proofErr w:type="gram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Jun;26:218</w:t>
            </w:r>
            <w:proofErr w:type="gram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-223.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10.1016/j.pdpdt.2019.04.006. </w:t>
            </w:r>
            <w:proofErr w:type="spellStart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>Epub</w:t>
            </w:r>
            <w:proofErr w:type="spellEnd"/>
            <w:r w:rsidRPr="0042611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 Apr 6. PMID: 30965145.</w:t>
            </w:r>
          </w:p>
          <w:p w14:paraId="4C0125E7" w14:textId="77777777" w:rsidR="00613697" w:rsidRPr="00426110" w:rsidRDefault="00613697" w:rsidP="00613697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Gilyadova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Ishchenko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A.; </w:t>
            </w: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Shiryaev</w:t>
            </w:r>
            <w:proofErr w:type="spellEnd"/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A.</w:t>
            </w:r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Alekseeva, P.;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Efendiev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Loshchenov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M.;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Reshetov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Phototheranostics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Cervical Neoplasms with Chlorin e6 Photosensitizer. </w:t>
            </w:r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Cancers</w:t>
            </w:r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2022, 14, 211. </w:t>
            </w:r>
            <w:hyperlink r:id="rId6" w:history="1">
              <w:r w:rsidRPr="004261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https://doi.org/10.3390/cancers14010211</w:t>
              </w:r>
            </w:hyperlink>
          </w:p>
          <w:p w14:paraId="6317E456" w14:textId="77777777" w:rsidR="00613697" w:rsidRPr="00426110" w:rsidRDefault="00613697" w:rsidP="00613697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Kozlikina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Elizaveta I., Daria V.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Pominova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Anastasia V.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Kanamat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Efendiev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Aleksei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Skobeltsin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Natalia S. Rudenko, Olga G. Kulik, Evgeniya I.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Muhametzyanova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Dzina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Karal-ogly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Gleb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Zhemerikin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Dmitry V.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Bulgin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Artem A. </w:t>
            </w: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Shiryaev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Igor V.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Reshetov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and Victor B.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2021. "Spectroscopic Measurement of Methylene Blue Distribution in Organs and Tissues of Hamadryas Baboons during Oral Administration" </w:t>
            </w:r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Photonics</w:t>
            </w:r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no. 8: 294. </w:t>
            </w:r>
            <w:hyperlink r:id="rId7" w:history="1">
              <w:r w:rsidRPr="0042611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https://doi.org/10.3390/photonics8080294</w:t>
              </w:r>
            </w:hyperlink>
          </w:p>
          <w:p w14:paraId="269F93C8" w14:textId="77777777" w:rsidR="00613697" w:rsidRPr="00426110" w:rsidRDefault="00613697" w:rsidP="00613697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iCs/>
                <w:lang w:val="en-US"/>
              </w:rPr>
            </w:pP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Shiryaev</w:t>
            </w:r>
            <w:proofErr w:type="spellEnd"/>
            <w:r w:rsidRPr="004261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A. A</w:t>
            </w:r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Efendiev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K. T.,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Kornev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 O.,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Samoylova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I.,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Fatyanova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S.,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Karpova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R. V., ... &amp; </w:t>
            </w:r>
            <w:proofErr w:type="spellStart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V. B. (2021). Photodynamic therapy of classic Kaposi's sarcoma with video-fluorescence control. </w:t>
            </w: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>Photodiagnosis</w:t>
            </w:r>
            <w:proofErr w:type="spellEnd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>photodynamic</w:t>
            </w:r>
            <w:proofErr w:type="spellEnd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6110">
              <w:rPr>
                <w:rFonts w:ascii="Times New Roman" w:hAnsi="Times New Roman" w:cs="Times New Roman"/>
                <w:b/>
                <w:sz w:val="24"/>
                <w:szCs w:val="24"/>
              </w:rPr>
              <w:t>therapy</w:t>
            </w:r>
            <w:proofErr w:type="spellEnd"/>
            <w:r w:rsidRPr="00426110">
              <w:rPr>
                <w:rFonts w:ascii="Times New Roman" w:hAnsi="Times New Roman" w:cs="Times New Roman"/>
                <w:sz w:val="24"/>
                <w:szCs w:val="24"/>
              </w:rPr>
              <w:t>, 35, 102378</w:t>
            </w:r>
          </w:p>
          <w:p w14:paraId="0C84203B" w14:textId="7D13A758" w:rsidR="002D50DC" w:rsidRPr="00267606" w:rsidRDefault="002D50DC" w:rsidP="003B67E6">
            <w:pPr>
              <w:pStyle w:val="a3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2D50DC" w:rsidRPr="00065285" w14:paraId="4E3C85E0" w14:textId="77777777" w:rsidTr="003B67E6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665D017A" w14:textId="77777777" w:rsidR="002D50DC" w:rsidRPr="00267606" w:rsidRDefault="002D50DC" w:rsidP="003B67E6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7ECC9C38" w14:textId="4F361E70" w:rsidR="002D50DC" w:rsidRPr="00B66C4B" w:rsidRDefault="002D50DC" w:rsidP="003B67E6">
            <w:pPr>
              <w:spacing w:after="0"/>
              <w:rPr>
                <w:color w:val="000000"/>
                <w:lang w:val="en-US"/>
              </w:rPr>
            </w:pPr>
            <w:r w:rsidRPr="00B66C4B">
              <w:rPr>
                <w:color w:val="000000"/>
                <w:lang w:val="en-US"/>
              </w:rPr>
              <w:t xml:space="preserve">Results of intellectual activity: </w:t>
            </w:r>
            <w:r w:rsidR="00613697">
              <w:rPr>
                <w:color w:val="000000"/>
                <w:lang w:val="en-US"/>
              </w:rPr>
              <w:t>5</w:t>
            </w:r>
            <w:r w:rsidRPr="00B66C4B">
              <w:rPr>
                <w:color w:val="000000"/>
                <w:lang w:val="en-US"/>
              </w:rPr>
              <w:t xml:space="preserve"> patents </w:t>
            </w:r>
          </w:p>
          <w:p w14:paraId="6771D8E1" w14:textId="77777777" w:rsidR="00613697" w:rsidRPr="00613697" w:rsidRDefault="00613697" w:rsidP="0061369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Viktor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Grachev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Pavel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Vyacheslavovich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Farrakhova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Dina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Salimovna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Borodkin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Alexander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Maklygina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Yulia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Sergeevna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Shiryaev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Artem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Anatolyevich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Utility model patent RU203175U1 (2020) Video fluorescent device for analyzing the interstitial distribution of photosensitizers in the far red and near infrared ranges of malignancies s neoplasms of the head and neck </w:t>
            </w:r>
            <w:proofErr w:type="gram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PATENT</w:t>
            </w:r>
            <w:proofErr w:type="gram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59A29F4" w14:textId="77777777" w:rsidR="00613697" w:rsidRPr="00613697" w:rsidRDefault="00613697" w:rsidP="0061369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Volkova A.I.,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Vorozhtsov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G.N., Kalia O.L.,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V.B.,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Musaev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G.Kh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Raiva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I.P.,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Kharnas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Shiryaev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A.A. Patent No. 2481797 - Method for </w:t>
            </w:r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sclerotherapy of true cysts of parenchymal organs (PATENT)</w:t>
            </w:r>
          </w:p>
          <w:p w14:paraId="56482392" w14:textId="77777777" w:rsidR="00613697" w:rsidRPr="00613697" w:rsidRDefault="00613697" w:rsidP="0061369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2021133869\14(071614)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Gilyadova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Shiryaev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A.A. ,</w:t>
            </w:r>
            <w:proofErr w:type="gram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I.V. Alekseeva P.M.,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Effendiev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K.T.,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V.B. A method of photodynamic therapy of neoplasms of the cervix and vulva under the control of joint video and spectral fluorescent diagnostics using chlorine photosensitizers. (PATENT).</w:t>
            </w:r>
          </w:p>
          <w:p w14:paraId="28897F24" w14:textId="77777777" w:rsidR="00613697" w:rsidRPr="00613697" w:rsidRDefault="00613697" w:rsidP="0061369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Yakovlev Dmitry Vladimirovich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Farrakhova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Dina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Salimovna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Grachev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Pavel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Vyacheslavovich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Efendiev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Kanamat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Tembotovich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Viktor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Maxim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Viktorovich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Shiryaev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Artem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Anatolyevich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Reshetov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Igor Vladimirovich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Zhemerikin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Gleb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Patent for invention RU2767264C1 Method of intraductal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phototheranostics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cholangiocel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lular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cancer (PATENT)</w:t>
            </w:r>
          </w:p>
          <w:p w14:paraId="5AD23B5F" w14:textId="3DDF5F85" w:rsidR="002D50DC" w:rsidRPr="00B66C4B" w:rsidRDefault="00613697" w:rsidP="0061369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Efendiev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Kanamat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Tembotovich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Alekseeva Polina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Mikhailovna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Shiryaev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Artem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Anatolyevich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Loschenov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Viktor </w:t>
            </w:r>
            <w:proofErr w:type="spell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Borisovich</w:t>
            </w:r>
            <w:proofErr w:type="spell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Patent for invention (</w:t>
            </w:r>
            <w:proofErr w:type="gramStart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19)RU</w:t>
            </w:r>
            <w:proofErr w:type="gramEnd"/>
            <w:r w:rsidRPr="00613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(11)2021 127 035 (13) – Device for photodynamic therapy with the possibility of simultaneous spectral-fluorescent control of photobleaching of a photosensitizer. (PATENT)</w:t>
            </w:r>
          </w:p>
        </w:tc>
      </w:tr>
    </w:tbl>
    <w:p w14:paraId="59CC5521" w14:textId="77777777" w:rsidR="009876CA" w:rsidRPr="009876CA" w:rsidRDefault="009876CA">
      <w:pPr>
        <w:rPr>
          <w:lang w:val="en-US"/>
        </w:rPr>
      </w:pPr>
    </w:p>
    <w:sectPr w:rsidR="009876CA" w:rsidRPr="0098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5B40"/>
    <w:multiLevelType w:val="hybridMultilevel"/>
    <w:tmpl w:val="DCE87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5A3A"/>
    <w:multiLevelType w:val="hybridMultilevel"/>
    <w:tmpl w:val="55D0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675741">
    <w:abstractNumId w:val="0"/>
  </w:num>
  <w:num w:numId="2" w16cid:durableId="1155729021">
    <w:abstractNumId w:val="1"/>
  </w:num>
  <w:num w:numId="3" w16cid:durableId="175309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CA"/>
    <w:rsid w:val="00065285"/>
    <w:rsid w:val="00267606"/>
    <w:rsid w:val="002D50DC"/>
    <w:rsid w:val="003A59BE"/>
    <w:rsid w:val="00613697"/>
    <w:rsid w:val="009876CA"/>
    <w:rsid w:val="00B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2463"/>
  <w15:chartTrackingRefBased/>
  <w15:docId w15:val="{52EBE0AA-7A5C-4799-A9EC-420DD101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C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876CA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6CA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9876C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D50D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613697"/>
    <w:rPr>
      <w:color w:val="0563C1"/>
      <w:u w:val="single"/>
    </w:rPr>
  </w:style>
  <w:style w:type="character" w:customStyle="1" w:styleId="markedcontent">
    <w:name w:val="markedcontent"/>
    <w:rsid w:val="00613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90/photonics8080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cancers140102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Victoria Morozova</cp:lastModifiedBy>
  <cp:revision>3</cp:revision>
  <dcterms:created xsi:type="dcterms:W3CDTF">2023-10-03T14:49:00Z</dcterms:created>
  <dcterms:modified xsi:type="dcterms:W3CDTF">2023-10-03T14:52:00Z</dcterms:modified>
</cp:coreProperties>
</file>