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79" w:rsidRPr="00C7782C" w:rsidRDefault="003A2779" w:rsidP="003A2779">
      <w:pPr>
        <w:pStyle w:val="3"/>
        <w:ind w:left="0" w:firstLine="0"/>
        <w:jc w:val="center"/>
        <w:rPr>
          <w:lang w:val="en-US"/>
        </w:rPr>
      </w:pPr>
      <w:r>
        <w:rPr>
          <w:caps w:val="0"/>
          <w:lang w:val="en-US"/>
        </w:rPr>
        <w:t>Ministry of Health of t</w:t>
      </w:r>
      <w:r w:rsidRPr="00C7782C">
        <w:rPr>
          <w:caps w:val="0"/>
          <w:lang w:val="en-US"/>
        </w:rPr>
        <w:t>he Russian Federation</w:t>
      </w:r>
    </w:p>
    <w:p w:rsidR="003A2779" w:rsidRPr="009E5C8E" w:rsidRDefault="003A2779" w:rsidP="003A2779">
      <w:pPr>
        <w:pStyle w:val="3"/>
        <w:ind w:left="0" w:firstLine="0"/>
        <w:jc w:val="center"/>
        <w:rPr>
          <w:b/>
          <w:lang w:val="en-US"/>
        </w:rPr>
      </w:pPr>
      <w:r>
        <w:rPr>
          <w:b/>
          <w:caps w:val="0"/>
          <w:lang w:val="en-US"/>
        </w:rPr>
        <w:t>State Autonomic</w:t>
      </w:r>
      <w:r w:rsidRPr="009E5C8E">
        <w:rPr>
          <w:b/>
          <w:caps w:val="0"/>
          <w:lang w:val="en-US"/>
        </w:rPr>
        <w:t xml:space="preserve"> Educational Institution </w:t>
      </w:r>
      <w:proofErr w:type="gramStart"/>
      <w:r w:rsidRPr="009E5C8E">
        <w:rPr>
          <w:b/>
          <w:caps w:val="0"/>
          <w:lang w:val="en-US"/>
        </w:rPr>
        <w:t>Of</w:t>
      </w:r>
      <w:proofErr w:type="gramEnd"/>
      <w:r w:rsidRPr="009E5C8E">
        <w:rPr>
          <w:b/>
          <w:caps w:val="0"/>
          <w:lang w:val="en-US"/>
        </w:rPr>
        <w:t xml:space="preserve"> Higher Training</w:t>
      </w:r>
    </w:p>
    <w:p w:rsidR="003A2779" w:rsidRDefault="003A2779" w:rsidP="003A2779">
      <w:pPr>
        <w:pStyle w:val="3"/>
        <w:ind w:left="0" w:firstLine="0"/>
        <w:jc w:val="center"/>
        <w:rPr>
          <w:b/>
          <w:caps w:val="0"/>
          <w:lang w:val="en-US"/>
        </w:rPr>
      </w:pPr>
      <w:r w:rsidRPr="009E5C8E">
        <w:rPr>
          <w:b/>
          <w:caps w:val="0"/>
          <w:lang w:val="en-US"/>
        </w:rPr>
        <w:t xml:space="preserve">I.M. </w:t>
      </w:r>
      <w:proofErr w:type="spellStart"/>
      <w:r w:rsidRPr="009E5C8E">
        <w:rPr>
          <w:b/>
          <w:caps w:val="0"/>
          <w:lang w:val="en-US"/>
        </w:rPr>
        <w:t>Sechenov</w:t>
      </w:r>
      <w:proofErr w:type="spellEnd"/>
      <w:r w:rsidRPr="009E5C8E">
        <w:rPr>
          <w:b/>
          <w:caps w:val="0"/>
          <w:lang w:val="en-US"/>
        </w:rPr>
        <w:t xml:space="preserve"> First Moscow State Medical University</w:t>
      </w:r>
    </w:p>
    <w:p w:rsidR="003A2779" w:rsidRPr="00CF424E" w:rsidRDefault="003A2779" w:rsidP="003A2779">
      <w:pPr>
        <w:jc w:val="center"/>
        <w:rPr>
          <w:b/>
          <w:lang w:val="en-US"/>
        </w:rPr>
      </w:pPr>
      <w:r w:rsidRPr="00CF424E">
        <w:rPr>
          <w:b/>
          <w:lang w:val="en-US"/>
        </w:rPr>
        <w:t>(</w:t>
      </w:r>
      <w:proofErr w:type="spellStart"/>
      <w:r w:rsidRPr="00CF424E">
        <w:rPr>
          <w:b/>
          <w:lang w:val="en-US"/>
        </w:rPr>
        <w:t>Sechenov</w:t>
      </w:r>
      <w:proofErr w:type="spellEnd"/>
      <w:r w:rsidRPr="00CF424E">
        <w:rPr>
          <w:b/>
          <w:lang w:val="en-US"/>
        </w:rPr>
        <w:t xml:space="preserve"> University)</w:t>
      </w:r>
    </w:p>
    <w:p w:rsidR="003A2779" w:rsidRPr="00CF424E" w:rsidRDefault="003A2779" w:rsidP="003A2779">
      <w:pPr>
        <w:jc w:val="center"/>
        <w:rPr>
          <w:b/>
          <w:lang w:val="en-US"/>
        </w:rPr>
      </w:pPr>
      <w:r w:rsidRPr="00CF424E">
        <w:rPr>
          <w:b/>
          <w:lang w:val="en-US"/>
        </w:rPr>
        <w:t>Faculty of Dentistry</w:t>
      </w:r>
    </w:p>
    <w:p w:rsidR="003A2779" w:rsidRPr="00956013" w:rsidRDefault="003A2779" w:rsidP="00956013">
      <w:pPr>
        <w:jc w:val="center"/>
        <w:rPr>
          <w:b/>
          <w:lang w:val="en-US"/>
        </w:rPr>
      </w:pPr>
      <w:r w:rsidRPr="00CF424E">
        <w:rPr>
          <w:b/>
          <w:lang w:val="en-US"/>
        </w:rPr>
        <w:t>Department of Pediatric Dentistry and Orthodontics</w:t>
      </w:r>
    </w:p>
    <w:p w:rsidR="003A2779" w:rsidRPr="00CF424E" w:rsidRDefault="003A2779" w:rsidP="003A2779">
      <w:pPr>
        <w:jc w:val="center"/>
        <w:rPr>
          <w:b/>
          <w:sz w:val="20"/>
          <w:szCs w:val="20"/>
          <w:lang w:val="en-US"/>
        </w:rPr>
      </w:pPr>
      <w:r w:rsidRPr="00CF424E">
        <w:rPr>
          <w:b/>
          <w:sz w:val="20"/>
          <w:szCs w:val="20"/>
          <w:lang w:val="en-US"/>
        </w:rPr>
        <w:t>Name of the seminars</w:t>
      </w:r>
    </w:p>
    <w:p w:rsidR="003A2779" w:rsidRPr="00956013" w:rsidRDefault="003A2779" w:rsidP="00956013">
      <w:pPr>
        <w:pStyle w:val="3"/>
        <w:ind w:left="1134"/>
        <w:jc w:val="center"/>
        <w:rPr>
          <w:rFonts w:ascii="Times New Roman" w:hAnsi="Times New Roman"/>
          <w:color w:val="000000" w:themeColor="text1"/>
          <w:lang w:val="en-US"/>
        </w:rPr>
      </w:pPr>
      <w:r w:rsidRPr="00CF424E">
        <w:rPr>
          <w:b/>
          <w:sz w:val="20"/>
          <w:szCs w:val="20"/>
          <w:lang w:val="en-US"/>
        </w:rPr>
        <w:t xml:space="preserve">Of </w:t>
      </w:r>
      <w:r w:rsidR="00D93292" w:rsidRPr="00D93292">
        <w:rPr>
          <w:rFonts w:ascii="Times New Roman" w:hAnsi="Times New Roman"/>
          <w:b/>
          <w:color w:val="000000" w:themeColor="text1"/>
          <w:sz w:val="18"/>
          <w:szCs w:val="18"/>
        </w:rPr>
        <w:t>pediatric Maxillofacial surgery</w:t>
      </w:r>
    </w:p>
    <w:p w:rsidR="003A2779" w:rsidRDefault="003A2779" w:rsidP="003A2779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For students 5th course 9 semester 2018/2019</w:t>
      </w:r>
    </w:p>
    <w:p w:rsidR="0027310A" w:rsidRDefault="0027310A" w:rsidP="003A2779">
      <w:pPr>
        <w:jc w:val="center"/>
        <w:rPr>
          <w:sz w:val="20"/>
          <w:szCs w:val="20"/>
          <w:lang w:val="en-US"/>
        </w:rPr>
      </w:pPr>
    </w:p>
    <w:p w:rsidR="003B597A" w:rsidRPr="007B7823" w:rsidRDefault="003B597A" w:rsidP="007B7823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  <w:lang w:val="en-US"/>
        </w:rPr>
      </w:pPr>
      <w:r w:rsidRPr="0027310A">
        <w:rPr>
          <w:szCs w:val="24"/>
          <w:lang w:val="en-US"/>
        </w:rPr>
        <w:t>Odontogenic inflammatory cysts of the jaws from temporary and permanent teeth</w:t>
      </w:r>
      <w:r w:rsidR="007B7823" w:rsidRPr="007B7823">
        <w:rPr>
          <w:szCs w:val="24"/>
          <w:lang w:val="en-US"/>
        </w:rPr>
        <w:t xml:space="preserve">. </w:t>
      </w:r>
      <w:r w:rsidR="007B7823" w:rsidRPr="0027310A">
        <w:rPr>
          <w:szCs w:val="24"/>
          <w:lang w:val="en-US"/>
        </w:rPr>
        <w:t xml:space="preserve">Classification, etiology, pathogenesis, clinic, diagnostic. </w:t>
      </w:r>
    </w:p>
    <w:p w:rsidR="007B7823" w:rsidRPr="007B7823" w:rsidRDefault="007B7823" w:rsidP="007B7823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  <w:lang w:val="en-US"/>
        </w:rPr>
      </w:pPr>
      <w:proofErr w:type="spellStart"/>
      <w:r w:rsidRPr="0027310A">
        <w:rPr>
          <w:szCs w:val="24"/>
          <w:lang w:val="en-US"/>
        </w:rPr>
        <w:t>Odontogenic</w:t>
      </w:r>
      <w:proofErr w:type="spellEnd"/>
      <w:r w:rsidRPr="0027310A">
        <w:rPr>
          <w:szCs w:val="24"/>
          <w:lang w:val="en-US"/>
        </w:rPr>
        <w:t xml:space="preserve"> inflammatory cysts of the jaws from temporary and permanent teeth. </w:t>
      </w:r>
      <w:r w:rsidRPr="007B7823">
        <w:rPr>
          <w:szCs w:val="24"/>
          <w:lang w:val="en-US"/>
        </w:rPr>
        <w:t>Methods of treatment in childhood.</w:t>
      </w:r>
    </w:p>
    <w:p w:rsidR="00A51690" w:rsidRPr="0027310A" w:rsidRDefault="003B597A" w:rsidP="0027310A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  <w:lang w:val="en-US"/>
        </w:rPr>
      </w:pPr>
      <w:r w:rsidRPr="0027310A">
        <w:rPr>
          <w:szCs w:val="24"/>
          <w:lang w:val="en-US"/>
        </w:rPr>
        <w:t xml:space="preserve">Diseases of the </w:t>
      </w:r>
      <w:proofErr w:type="spellStart"/>
      <w:r w:rsidRPr="0027310A">
        <w:rPr>
          <w:szCs w:val="24"/>
          <w:lang w:val="en-US"/>
        </w:rPr>
        <w:t>temporomandibular</w:t>
      </w:r>
      <w:proofErr w:type="spellEnd"/>
      <w:r w:rsidRPr="0027310A">
        <w:rPr>
          <w:szCs w:val="24"/>
          <w:lang w:val="en-US"/>
        </w:rPr>
        <w:t xml:space="preserve"> joint in children. Classification, etiolog</w:t>
      </w:r>
      <w:r w:rsidR="00A51690" w:rsidRPr="0027310A">
        <w:rPr>
          <w:szCs w:val="24"/>
          <w:lang w:val="en-US"/>
        </w:rPr>
        <w:t>y,</w:t>
      </w:r>
      <w:r w:rsidRPr="0027310A">
        <w:rPr>
          <w:szCs w:val="24"/>
          <w:lang w:val="en-US"/>
        </w:rPr>
        <w:t xml:space="preserve"> </w:t>
      </w:r>
      <w:r w:rsidR="00A51690" w:rsidRPr="0027310A">
        <w:rPr>
          <w:szCs w:val="24"/>
          <w:lang w:val="en-US"/>
        </w:rPr>
        <w:t>p</w:t>
      </w:r>
      <w:r w:rsidRPr="0027310A">
        <w:rPr>
          <w:szCs w:val="24"/>
          <w:lang w:val="en-US"/>
        </w:rPr>
        <w:t>athogenesis</w:t>
      </w:r>
      <w:r w:rsidR="00A51690" w:rsidRPr="0027310A">
        <w:rPr>
          <w:szCs w:val="24"/>
          <w:lang w:val="en-US"/>
        </w:rPr>
        <w:t>, clinic, d</w:t>
      </w:r>
      <w:r w:rsidRPr="0027310A">
        <w:rPr>
          <w:szCs w:val="24"/>
          <w:lang w:val="en-US"/>
        </w:rPr>
        <w:t xml:space="preserve">iagnostic. </w:t>
      </w:r>
    </w:p>
    <w:p w:rsidR="00A51690" w:rsidRPr="0027310A" w:rsidRDefault="003B597A" w:rsidP="0027310A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  <w:lang w:val="en-US"/>
        </w:rPr>
      </w:pPr>
      <w:r w:rsidRPr="0027310A">
        <w:rPr>
          <w:szCs w:val="24"/>
          <w:lang w:val="en-US"/>
        </w:rPr>
        <w:t>Diseases of the temporomandibular joint in children. Methods and principles of treatment</w:t>
      </w:r>
    </w:p>
    <w:p w:rsidR="00A51690" w:rsidRPr="0027310A" w:rsidRDefault="00A51690" w:rsidP="0027310A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  <w:lang w:val="en-US"/>
        </w:rPr>
      </w:pPr>
      <w:r w:rsidRPr="0027310A">
        <w:rPr>
          <w:color w:val="212121"/>
          <w:szCs w:val="24"/>
          <w:lang w:val="en"/>
        </w:rPr>
        <w:t xml:space="preserve">Damage </w:t>
      </w:r>
      <w:r w:rsidR="0027310A" w:rsidRPr="0027310A">
        <w:rPr>
          <w:color w:val="212121"/>
          <w:szCs w:val="24"/>
          <w:lang w:val="en"/>
        </w:rPr>
        <w:t xml:space="preserve">of the maxillofacial region </w:t>
      </w:r>
      <w:r w:rsidRPr="0027310A">
        <w:rPr>
          <w:color w:val="212121"/>
          <w:szCs w:val="24"/>
          <w:lang w:val="en"/>
        </w:rPr>
        <w:t>in children.</w:t>
      </w:r>
      <w:r w:rsidR="0027310A" w:rsidRPr="0027310A">
        <w:rPr>
          <w:color w:val="212121"/>
          <w:szCs w:val="24"/>
          <w:lang w:val="en-US"/>
        </w:rPr>
        <w:t xml:space="preserve"> </w:t>
      </w:r>
      <w:r w:rsidR="0027310A" w:rsidRPr="0027310A">
        <w:rPr>
          <w:szCs w:val="24"/>
          <w:lang w:val="en-US"/>
        </w:rPr>
        <w:t xml:space="preserve">Classification, etiology, pathogenesis, clinic, diagnostic. </w:t>
      </w:r>
    </w:p>
    <w:p w:rsidR="00A51690" w:rsidRPr="0027310A" w:rsidRDefault="00A51690" w:rsidP="0027310A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  <w:lang w:val="en-US"/>
        </w:rPr>
      </w:pPr>
      <w:r w:rsidRPr="0027310A">
        <w:rPr>
          <w:color w:val="212121"/>
          <w:szCs w:val="24"/>
          <w:lang w:val="en"/>
        </w:rPr>
        <w:t xml:space="preserve">Damage </w:t>
      </w:r>
      <w:r w:rsidR="0027310A" w:rsidRPr="0027310A">
        <w:rPr>
          <w:color w:val="212121"/>
          <w:szCs w:val="24"/>
          <w:lang w:val="en"/>
        </w:rPr>
        <w:t xml:space="preserve">of the maxillofacial region </w:t>
      </w:r>
      <w:r w:rsidRPr="0027310A">
        <w:rPr>
          <w:color w:val="212121"/>
          <w:szCs w:val="24"/>
          <w:lang w:val="en"/>
        </w:rPr>
        <w:t>in children.</w:t>
      </w:r>
      <w:r w:rsidR="0027310A" w:rsidRPr="0027310A">
        <w:rPr>
          <w:color w:val="212121"/>
          <w:szCs w:val="24"/>
          <w:lang w:val="en-US"/>
        </w:rPr>
        <w:t xml:space="preserve"> </w:t>
      </w:r>
      <w:r w:rsidR="0027310A" w:rsidRPr="0027310A">
        <w:rPr>
          <w:szCs w:val="24"/>
          <w:lang w:val="en-US"/>
        </w:rPr>
        <w:t>Methods and principles of treatment</w:t>
      </w:r>
    </w:p>
    <w:p w:rsidR="00A51690" w:rsidRPr="0027310A" w:rsidRDefault="00A51690" w:rsidP="0027310A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  <w:lang w:val="en-US"/>
        </w:rPr>
      </w:pPr>
      <w:r w:rsidRPr="0027310A">
        <w:rPr>
          <w:szCs w:val="24"/>
          <w:lang w:val="en-US"/>
        </w:rPr>
        <w:t xml:space="preserve">Congenital cleft lip and palate. Clinical classification. Clinic. Diagnostics. </w:t>
      </w:r>
    </w:p>
    <w:p w:rsidR="00A51690" w:rsidRPr="0027310A" w:rsidRDefault="00A51690" w:rsidP="0027310A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  <w:lang w:val="en-US"/>
        </w:rPr>
      </w:pPr>
      <w:r w:rsidRPr="0027310A">
        <w:rPr>
          <w:szCs w:val="24"/>
          <w:lang w:val="en-US"/>
        </w:rPr>
        <w:t xml:space="preserve">Congenital cleft lip and palate. Methods of surgical treatment. Outcomes of operations. </w:t>
      </w:r>
    </w:p>
    <w:p w:rsidR="00A51690" w:rsidRPr="0027310A" w:rsidRDefault="00A51690" w:rsidP="0027310A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</w:rPr>
      </w:pPr>
      <w:r w:rsidRPr="0027310A">
        <w:rPr>
          <w:szCs w:val="24"/>
          <w:lang w:val="en-US"/>
        </w:rPr>
        <w:t xml:space="preserve">Functional disorders in the body of a child with congenital malformations of the maxillofacial region. </w:t>
      </w:r>
      <w:proofErr w:type="spellStart"/>
      <w:r w:rsidR="0027310A">
        <w:rPr>
          <w:szCs w:val="24"/>
        </w:rPr>
        <w:t>Meth</w:t>
      </w:r>
      <w:r w:rsidRPr="0027310A">
        <w:rPr>
          <w:szCs w:val="24"/>
        </w:rPr>
        <w:t>ods</w:t>
      </w:r>
      <w:proofErr w:type="spellEnd"/>
      <w:r w:rsidRPr="0027310A">
        <w:rPr>
          <w:szCs w:val="24"/>
        </w:rPr>
        <w:t xml:space="preserve"> </w:t>
      </w:r>
      <w:proofErr w:type="spellStart"/>
      <w:r w:rsidRPr="0027310A">
        <w:rPr>
          <w:szCs w:val="24"/>
        </w:rPr>
        <w:t>of</w:t>
      </w:r>
      <w:proofErr w:type="spellEnd"/>
      <w:r w:rsidRPr="0027310A">
        <w:rPr>
          <w:szCs w:val="24"/>
        </w:rPr>
        <w:t xml:space="preserve"> </w:t>
      </w:r>
      <w:proofErr w:type="spellStart"/>
      <w:r w:rsidRPr="0027310A">
        <w:rPr>
          <w:szCs w:val="24"/>
        </w:rPr>
        <w:t>surgical</w:t>
      </w:r>
      <w:proofErr w:type="spellEnd"/>
      <w:r w:rsidRPr="0027310A">
        <w:rPr>
          <w:szCs w:val="24"/>
        </w:rPr>
        <w:t xml:space="preserve"> </w:t>
      </w:r>
      <w:proofErr w:type="spellStart"/>
      <w:r w:rsidRPr="0027310A">
        <w:rPr>
          <w:szCs w:val="24"/>
        </w:rPr>
        <w:t>treatment</w:t>
      </w:r>
      <w:proofErr w:type="spellEnd"/>
      <w:r w:rsidRPr="0027310A">
        <w:rPr>
          <w:szCs w:val="24"/>
        </w:rPr>
        <w:t>.</w:t>
      </w:r>
    </w:p>
    <w:p w:rsidR="00A51690" w:rsidRPr="0027310A" w:rsidRDefault="00A51690" w:rsidP="0027310A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  <w:lang w:val="en-US"/>
        </w:rPr>
      </w:pPr>
      <w:r w:rsidRPr="0027310A">
        <w:rPr>
          <w:szCs w:val="24"/>
          <w:lang w:val="en-US"/>
        </w:rPr>
        <w:t>Tumors and tumor-like processes of soft tissues of the mouth and face in children. Classification, etiology, pathogenesis, clinic, diagnostic. Methods and principles of treatment</w:t>
      </w:r>
    </w:p>
    <w:p w:rsidR="00A51690" w:rsidRPr="0027310A" w:rsidRDefault="00A51690" w:rsidP="0027310A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  <w:lang w:val="en-US"/>
        </w:rPr>
      </w:pPr>
      <w:r w:rsidRPr="0027310A">
        <w:rPr>
          <w:szCs w:val="24"/>
          <w:lang w:val="en-US"/>
        </w:rPr>
        <w:t>Tumors and tumor-like processes of</w:t>
      </w:r>
      <w:r w:rsidR="0027310A" w:rsidRPr="0027310A">
        <w:rPr>
          <w:szCs w:val="24"/>
          <w:lang w:val="en-US"/>
        </w:rPr>
        <w:t xml:space="preserve"> </w:t>
      </w:r>
      <w:r w:rsidRPr="0027310A">
        <w:rPr>
          <w:szCs w:val="24"/>
          <w:lang w:val="en-US"/>
        </w:rPr>
        <w:t>bones of the facial skeleton in children. Classification, etiology, pathogenesis, clinic, diagnostic. Methods and principles of treatment</w:t>
      </w:r>
    </w:p>
    <w:p w:rsidR="00A51690" w:rsidRPr="0027310A" w:rsidRDefault="00A51690" w:rsidP="0027310A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  <w:lang w:val="en-US"/>
        </w:rPr>
      </w:pPr>
      <w:r w:rsidRPr="0027310A">
        <w:rPr>
          <w:szCs w:val="24"/>
          <w:lang w:val="en-US"/>
        </w:rPr>
        <w:t>Malignant tumors of soft tissues of the facial skeleton in children. Classification, etiology, pathogenesis, clinic, diagnostic. Methods and principles of treatment</w:t>
      </w:r>
    </w:p>
    <w:p w:rsidR="00A51690" w:rsidRPr="0027310A" w:rsidRDefault="00A51690" w:rsidP="0027310A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  <w:lang w:val="en-US"/>
        </w:rPr>
      </w:pPr>
      <w:r w:rsidRPr="0027310A">
        <w:rPr>
          <w:szCs w:val="24"/>
          <w:lang w:val="en-US"/>
        </w:rPr>
        <w:t>Malignant tumors of bones of the facial skeleton in children. Classification, etiology, pathogenesis, clinic, diagnostic. Methods and principles of treatment</w:t>
      </w:r>
    </w:p>
    <w:p w:rsidR="00A51690" w:rsidRPr="0027310A" w:rsidRDefault="00A51690" w:rsidP="0027310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Cs w:val="24"/>
        </w:rPr>
      </w:pPr>
      <w:r w:rsidRPr="0027310A">
        <w:rPr>
          <w:color w:val="212121"/>
          <w:szCs w:val="24"/>
          <w:lang w:val="en"/>
        </w:rPr>
        <w:t>Complex rehabilitation of congenital and hereditary pathology of the maxillofacial region in children. Prevention of congenital pathology of the maxillofacial region.</w:t>
      </w:r>
    </w:p>
    <w:p w:rsidR="00A51690" w:rsidRPr="0027310A" w:rsidRDefault="00A51690" w:rsidP="0027310A">
      <w:pPr>
        <w:pStyle w:val="a3"/>
        <w:numPr>
          <w:ilvl w:val="0"/>
          <w:numId w:val="5"/>
        </w:numPr>
        <w:rPr>
          <w:szCs w:val="24"/>
        </w:rPr>
      </w:pPr>
      <w:r w:rsidRPr="0027310A">
        <w:rPr>
          <w:color w:val="212121"/>
          <w:szCs w:val="24"/>
          <w:shd w:val="clear" w:color="auto" w:fill="FFFFFF"/>
          <w:lang w:val="en-US"/>
        </w:rPr>
        <w:t xml:space="preserve">Organization of medical genetic counseling. Work in the center of clinical examination. Principles of medical examination and rehabilitation of children with cleft lip and palate. </w:t>
      </w:r>
      <w:proofErr w:type="spellStart"/>
      <w:r w:rsidRPr="0027310A">
        <w:rPr>
          <w:color w:val="212121"/>
          <w:szCs w:val="24"/>
          <w:shd w:val="clear" w:color="auto" w:fill="FFFFFF"/>
        </w:rPr>
        <w:t>Structure</w:t>
      </w:r>
      <w:proofErr w:type="spellEnd"/>
      <w:r w:rsidRPr="0027310A">
        <w:rPr>
          <w:color w:val="212121"/>
          <w:szCs w:val="24"/>
          <w:shd w:val="clear" w:color="auto" w:fill="FFFFFF"/>
        </w:rPr>
        <w:t xml:space="preserve"> </w:t>
      </w:r>
      <w:proofErr w:type="spellStart"/>
      <w:r w:rsidRPr="0027310A">
        <w:rPr>
          <w:color w:val="212121"/>
          <w:szCs w:val="24"/>
          <w:shd w:val="clear" w:color="auto" w:fill="FFFFFF"/>
        </w:rPr>
        <w:t>of</w:t>
      </w:r>
      <w:proofErr w:type="spellEnd"/>
      <w:r w:rsidRPr="0027310A">
        <w:rPr>
          <w:color w:val="212121"/>
          <w:szCs w:val="24"/>
          <w:shd w:val="clear" w:color="auto" w:fill="FFFFFF"/>
        </w:rPr>
        <w:t xml:space="preserve"> </w:t>
      </w:r>
      <w:proofErr w:type="spellStart"/>
      <w:r w:rsidRPr="0027310A">
        <w:rPr>
          <w:color w:val="212121"/>
          <w:szCs w:val="24"/>
          <w:shd w:val="clear" w:color="auto" w:fill="FFFFFF"/>
        </w:rPr>
        <w:t>the</w:t>
      </w:r>
      <w:proofErr w:type="spellEnd"/>
      <w:r w:rsidRPr="0027310A">
        <w:rPr>
          <w:color w:val="212121"/>
          <w:szCs w:val="24"/>
          <w:shd w:val="clear" w:color="auto" w:fill="FFFFFF"/>
        </w:rPr>
        <w:t xml:space="preserve"> </w:t>
      </w:r>
      <w:proofErr w:type="spellStart"/>
      <w:r w:rsidRPr="0027310A">
        <w:rPr>
          <w:color w:val="212121"/>
          <w:szCs w:val="24"/>
          <w:shd w:val="clear" w:color="auto" w:fill="FFFFFF"/>
        </w:rPr>
        <w:t>Center</w:t>
      </w:r>
      <w:proofErr w:type="spellEnd"/>
      <w:r w:rsidRPr="0027310A">
        <w:rPr>
          <w:color w:val="212121"/>
          <w:szCs w:val="24"/>
          <w:shd w:val="clear" w:color="auto" w:fill="FFFFFF"/>
        </w:rPr>
        <w:t xml:space="preserve"> </w:t>
      </w:r>
      <w:proofErr w:type="spellStart"/>
      <w:r w:rsidRPr="0027310A">
        <w:rPr>
          <w:color w:val="212121"/>
          <w:szCs w:val="24"/>
          <w:shd w:val="clear" w:color="auto" w:fill="FFFFFF"/>
        </w:rPr>
        <w:t>for</w:t>
      </w:r>
      <w:proofErr w:type="spellEnd"/>
      <w:r w:rsidRPr="0027310A">
        <w:rPr>
          <w:color w:val="212121"/>
          <w:szCs w:val="24"/>
          <w:shd w:val="clear" w:color="auto" w:fill="FFFFFF"/>
        </w:rPr>
        <w:t xml:space="preserve"> </w:t>
      </w:r>
      <w:proofErr w:type="spellStart"/>
      <w:r w:rsidRPr="0027310A">
        <w:rPr>
          <w:color w:val="212121"/>
          <w:szCs w:val="24"/>
          <w:shd w:val="clear" w:color="auto" w:fill="FFFFFF"/>
        </w:rPr>
        <w:t>Clinical</w:t>
      </w:r>
      <w:proofErr w:type="spellEnd"/>
      <w:r w:rsidRPr="0027310A">
        <w:rPr>
          <w:color w:val="212121"/>
          <w:szCs w:val="24"/>
          <w:shd w:val="clear" w:color="auto" w:fill="FFFFFF"/>
        </w:rPr>
        <w:t xml:space="preserve"> </w:t>
      </w:r>
      <w:proofErr w:type="spellStart"/>
      <w:r w:rsidRPr="0027310A">
        <w:rPr>
          <w:color w:val="212121"/>
          <w:szCs w:val="24"/>
          <w:shd w:val="clear" w:color="auto" w:fill="FFFFFF"/>
        </w:rPr>
        <w:t>Examination</w:t>
      </w:r>
      <w:proofErr w:type="spellEnd"/>
      <w:r w:rsidRPr="0027310A">
        <w:rPr>
          <w:color w:val="212121"/>
          <w:szCs w:val="24"/>
          <w:shd w:val="clear" w:color="auto" w:fill="FFFFFF"/>
        </w:rPr>
        <w:t>.</w:t>
      </w:r>
    </w:p>
    <w:p w:rsidR="00A51690" w:rsidRPr="0027310A" w:rsidRDefault="00A51690" w:rsidP="0027310A">
      <w:pPr>
        <w:pStyle w:val="a3"/>
        <w:numPr>
          <w:ilvl w:val="0"/>
          <w:numId w:val="5"/>
        </w:numPr>
        <w:spacing w:after="0" w:line="240" w:lineRule="auto"/>
        <w:ind w:right="0"/>
        <w:rPr>
          <w:color w:val="auto"/>
          <w:szCs w:val="24"/>
        </w:rPr>
      </w:pPr>
      <w:r w:rsidRPr="0027310A">
        <w:rPr>
          <w:color w:val="auto"/>
          <w:szCs w:val="24"/>
        </w:rPr>
        <w:t xml:space="preserve"> </w:t>
      </w:r>
      <w:r w:rsidRPr="0027310A">
        <w:rPr>
          <w:color w:val="auto"/>
          <w:szCs w:val="24"/>
          <w:lang w:val="en-US"/>
        </w:rPr>
        <w:t>Total</w:t>
      </w:r>
      <w:r w:rsidRPr="0027310A">
        <w:rPr>
          <w:color w:val="auto"/>
          <w:szCs w:val="24"/>
        </w:rPr>
        <w:t xml:space="preserve"> </w:t>
      </w:r>
      <w:r w:rsidRPr="0027310A">
        <w:rPr>
          <w:color w:val="auto"/>
          <w:szCs w:val="24"/>
          <w:lang w:val="en-US"/>
        </w:rPr>
        <w:t>lesson</w:t>
      </w:r>
      <w:r w:rsidRPr="0027310A">
        <w:rPr>
          <w:color w:val="auto"/>
          <w:szCs w:val="24"/>
        </w:rPr>
        <w:t xml:space="preserve">. </w:t>
      </w:r>
    </w:p>
    <w:p w:rsidR="00A51690" w:rsidRPr="00A51690" w:rsidRDefault="00A51690" w:rsidP="00A51690">
      <w:pPr>
        <w:ind w:left="360"/>
      </w:pPr>
    </w:p>
    <w:p w:rsidR="003B597A" w:rsidRPr="0027310A" w:rsidRDefault="003B597A" w:rsidP="0027310A">
      <w:pPr>
        <w:rPr>
          <w:sz w:val="20"/>
          <w:szCs w:val="20"/>
        </w:rPr>
      </w:pPr>
    </w:p>
    <w:p w:rsidR="00D93292" w:rsidRPr="00A51690" w:rsidRDefault="00D93292" w:rsidP="003A2779">
      <w:pPr>
        <w:jc w:val="center"/>
        <w:rPr>
          <w:sz w:val="20"/>
          <w:szCs w:val="20"/>
        </w:rPr>
      </w:pPr>
    </w:p>
    <w:p w:rsidR="003A2779" w:rsidRPr="00A51690" w:rsidRDefault="003A2779">
      <w:bookmarkStart w:id="0" w:name="_GoBack"/>
      <w:bookmarkEnd w:id="0"/>
    </w:p>
    <w:p w:rsidR="003A2779" w:rsidRPr="00A51690" w:rsidRDefault="003A2779"/>
    <w:p w:rsidR="003A2779" w:rsidRPr="00A51690" w:rsidRDefault="003A2779"/>
    <w:p w:rsidR="003A2779" w:rsidRPr="00A51690" w:rsidRDefault="003A2779" w:rsidP="003A2779"/>
    <w:p w:rsidR="003A2779" w:rsidRPr="00A51690" w:rsidRDefault="003A2779"/>
    <w:p w:rsidR="003A2779" w:rsidRPr="001C3BB9" w:rsidRDefault="003A2779" w:rsidP="003A2779">
      <w:proofErr w:type="spellStart"/>
      <w:r w:rsidRPr="001C3BB9">
        <w:t>Зав</w:t>
      </w:r>
      <w:r w:rsidRPr="00A51690">
        <w:t>.</w:t>
      </w:r>
      <w:r w:rsidRPr="001C3BB9">
        <w:t>учебной</w:t>
      </w:r>
      <w:proofErr w:type="spellEnd"/>
      <w:r w:rsidRPr="001C3BB9">
        <w:t xml:space="preserve"> частью, </w:t>
      </w:r>
    </w:p>
    <w:p w:rsidR="003A2779" w:rsidRDefault="003A2779" w:rsidP="003A2779">
      <w:r w:rsidRPr="001C3BB9">
        <w:t>Доцент</w:t>
      </w:r>
      <w:r>
        <w:t xml:space="preserve">, к.м.н.         </w:t>
      </w:r>
      <w:r w:rsidRPr="001C3BB9">
        <w:t xml:space="preserve">                                                                       __________</w:t>
      </w:r>
      <w:proofErr w:type="gramStart"/>
      <w:r w:rsidRPr="001C3BB9">
        <w:t>_  Н.С.</w:t>
      </w:r>
      <w:proofErr w:type="gramEnd"/>
      <w:r w:rsidRPr="001C3BB9">
        <w:t xml:space="preserve"> Морозова</w:t>
      </w:r>
    </w:p>
    <w:p w:rsidR="003A2779" w:rsidRPr="001C3BB9" w:rsidRDefault="003A2779" w:rsidP="003A2779"/>
    <w:p w:rsidR="003A2779" w:rsidRPr="001C3BB9" w:rsidRDefault="003A2779" w:rsidP="003A2779">
      <w:r w:rsidRPr="001C3BB9">
        <w:t>Зав. кафедрой,</w:t>
      </w:r>
    </w:p>
    <w:p w:rsidR="003A2779" w:rsidRDefault="003A2779" w:rsidP="003A2779">
      <w:r>
        <w:t>Профессор, д.м.н.</w:t>
      </w:r>
      <w:r w:rsidRPr="001C3BB9">
        <w:t xml:space="preserve">                            </w:t>
      </w:r>
      <w:r>
        <w:t xml:space="preserve">          </w:t>
      </w:r>
      <w:r w:rsidRPr="001C3BB9">
        <w:t xml:space="preserve">                                     ___________</w:t>
      </w:r>
      <w:proofErr w:type="spellStart"/>
      <w:r w:rsidRPr="001C3BB9">
        <w:t>Ад.А</w:t>
      </w:r>
      <w:proofErr w:type="spellEnd"/>
      <w:r w:rsidRPr="001C3BB9">
        <w:t>. Мамедов</w:t>
      </w:r>
    </w:p>
    <w:p w:rsidR="003A2779" w:rsidRPr="003A2779" w:rsidRDefault="003A2779"/>
    <w:sectPr w:rsidR="003A2779" w:rsidRPr="003A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_AntiqueTradyBr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E5A60"/>
    <w:multiLevelType w:val="hybridMultilevel"/>
    <w:tmpl w:val="CB44A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B0981"/>
    <w:multiLevelType w:val="multilevel"/>
    <w:tmpl w:val="60D411C8"/>
    <w:lvl w:ilvl="0">
      <w:start w:val="1"/>
      <w:numFmt w:val="upperRoman"/>
      <w:suff w:val="space"/>
      <w:lvlText w:val="%1-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suff w:val="space"/>
      <w:lvlText w:val="%1-%2.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2">
      <w:start w:val="6"/>
      <w:numFmt w:val="none"/>
      <w:pStyle w:val="3"/>
      <w:suff w:val="space"/>
      <w:lvlText w:val="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3">
      <w:start w:val="1"/>
      <w:numFmt w:val="decimal"/>
      <w:suff w:val="space"/>
      <w:lvlText w:val="%1-%2.%3.%4"/>
      <w:lvlJc w:val="left"/>
      <w:pPr>
        <w:ind w:left="3828" w:hanging="1134"/>
      </w:pPr>
      <w:rPr>
        <w:rFonts w:ascii="Verdana" w:hAnsi="Verdana" w:hint="default"/>
        <w:b/>
        <w:i w:val="0"/>
        <w:sz w:val="24"/>
      </w:rPr>
    </w:lvl>
    <w:lvl w:ilvl="4">
      <w:start w:val="1"/>
      <w:numFmt w:val="decimal"/>
      <w:suff w:val="space"/>
      <w:lvlText w:val="%4%5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  <w:lvl w:ilvl="5">
      <w:start w:val="1"/>
      <w:numFmt w:val="decimal"/>
      <w:suff w:val="space"/>
      <w:lvlText w:val="%4%5%6"/>
      <w:lvlJc w:val="left"/>
      <w:pPr>
        <w:ind w:left="3828" w:hanging="1134"/>
      </w:pPr>
      <w:rPr>
        <w:rFonts w:ascii="Verdana" w:hAnsi="Verdana" w:hint="default"/>
        <w:b/>
        <w:i w:val="0"/>
      </w:rPr>
    </w:lvl>
    <w:lvl w:ilvl="6">
      <w:start w:val="1"/>
      <w:numFmt w:val="decimal"/>
      <w:suff w:val="space"/>
      <w:lvlText w:val="%4%5%6%7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  <w:lvl w:ilvl="7">
      <w:start w:val="1"/>
      <w:numFmt w:val="decimal"/>
      <w:suff w:val="space"/>
      <w:lvlText w:val="%4%5%6%7%8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"/>
      <w:lvlJc w:val="left"/>
      <w:pPr>
        <w:ind w:left="3828" w:hanging="1134"/>
      </w:pPr>
      <w:rPr>
        <w:rFonts w:ascii="Verdana" w:hAnsi="Verdana" w:hint="default"/>
        <w:b/>
        <w:i w:val="0"/>
        <w:sz w:val="22"/>
      </w:rPr>
    </w:lvl>
  </w:abstractNum>
  <w:abstractNum w:abstractNumId="2">
    <w:nsid w:val="6F1F4B1E"/>
    <w:multiLevelType w:val="hybridMultilevel"/>
    <w:tmpl w:val="EA0EB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1336B"/>
    <w:multiLevelType w:val="hybridMultilevel"/>
    <w:tmpl w:val="7E54B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C46CE"/>
    <w:multiLevelType w:val="hybridMultilevel"/>
    <w:tmpl w:val="F0F446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B1"/>
    <w:rsid w:val="00076CB1"/>
    <w:rsid w:val="00171BD0"/>
    <w:rsid w:val="0027310A"/>
    <w:rsid w:val="003A2779"/>
    <w:rsid w:val="003B597A"/>
    <w:rsid w:val="00480EA8"/>
    <w:rsid w:val="00513EF9"/>
    <w:rsid w:val="005B148E"/>
    <w:rsid w:val="006A142D"/>
    <w:rsid w:val="00701CA0"/>
    <w:rsid w:val="007B7823"/>
    <w:rsid w:val="00956013"/>
    <w:rsid w:val="00A51690"/>
    <w:rsid w:val="00CF21AD"/>
    <w:rsid w:val="00D9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53EF0-E31D-466D-88E6-D252F92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0EA8"/>
    <w:pPr>
      <w:keepNext/>
      <w:keepLines/>
      <w:spacing w:before="240" w:line="269" w:lineRule="auto"/>
      <w:ind w:left="10" w:right="121" w:hanging="1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autoRedefine/>
    <w:qFormat/>
    <w:rsid w:val="003A2779"/>
    <w:pPr>
      <w:keepLines/>
      <w:numPr>
        <w:ilvl w:val="2"/>
        <w:numId w:val="1"/>
      </w:numPr>
      <w:jc w:val="both"/>
      <w:outlineLvl w:val="2"/>
    </w:pPr>
    <w:rPr>
      <w:rFonts w:ascii="a_AntiqueTradyBrk" w:eastAsia="Arial Unicode MS" w:hAnsi="a_AntiqueTradyBrk"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2779"/>
    <w:rPr>
      <w:rFonts w:ascii="a_AntiqueTradyBrk" w:eastAsia="Arial Unicode MS" w:hAnsi="a_AntiqueTradyBrk" w:cs="Times New Roman"/>
      <w:cap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A2779"/>
    <w:pPr>
      <w:spacing w:after="13" w:line="269" w:lineRule="auto"/>
      <w:ind w:left="720" w:right="121" w:hanging="10"/>
      <w:contextualSpacing/>
      <w:jc w:val="both"/>
    </w:pPr>
    <w:rPr>
      <w:color w:val="000000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A27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77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shorttext">
    <w:name w:val="short_text"/>
    <w:rsid w:val="00480EA8"/>
  </w:style>
  <w:style w:type="character" w:customStyle="1" w:styleId="10">
    <w:name w:val="Заголовок 1 Знак"/>
    <w:basedOn w:val="a0"/>
    <w:link w:val="1"/>
    <w:uiPriority w:val="9"/>
    <w:rsid w:val="00480E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51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5169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2018-08-21T12:00:00Z</cp:lastPrinted>
  <dcterms:created xsi:type="dcterms:W3CDTF">2018-06-26T08:18:00Z</dcterms:created>
  <dcterms:modified xsi:type="dcterms:W3CDTF">2018-08-21T12:00:00Z</dcterms:modified>
</cp:coreProperties>
</file>