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01" w:rsidRPr="00B72501" w:rsidRDefault="00B72501" w:rsidP="00B7250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2501">
        <w:rPr>
          <w:rFonts w:ascii="Times New Roman" w:hAnsi="Times New Roman" w:cs="Times New Roman"/>
          <w:sz w:val="28"/>
          <w:szCs w:val="28"/>
        </w:rPr>
        <w:t>Приложение 2</w:t>
      </w:r>
    </w:p>
    <w:bookmarkEnd w:id="0"/>
    <w:p w:rsidR="001F2B18" w:rsidRPr="001F2B18" w:rsidRDefault="001F2B18" w:rsidP="001F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18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72501">
        <w:rPr>
          <w:rFonts w:ascii="Times New Roman" w:hAnsi="Times New Roman" w:cs="Times New Roman"/>
          <w:b/>
          <w:sz w:val="28"/>
          <w:szCs w:val="28"/>
        </w:rPr>
        <w:t>И</w:t>
      </w:r>
      <w:r w:rsidRPr="001F2B1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</w:p>
    <w:p w:rsidR="0000550D" w:rsidRDefault="001F2B18" w:rsidP="0092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18">
        <w:rPr>
          <w:rFonts w:ascii="Times New Roman" w:hAnsi="Times New Roman" w:cs="Times New Roman"/>
          <w:b/>
          <w:sz w:val="28"/>
          <w:szCs w:val="28"/>
        </w:rPr>
        <w:t xml:space="preserve">подготовки бакалавров </w:t>
      </w:r>
    </w:p>
    <w:p w:rsidR="001F2B18" w:rsidRPr="001F2B18" w:rsidRDefault="001F2B18" w:rsidP="0092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18">
        <w:rPr>
          <w:rFonts w:ascii="Times New Roman" w:hAnsi="Times New Roman" w:cs="Times New Roman"/>
          <w:b/>
          <w:sz w:val="28"/>
          <w:szCs w:val="28"/>
        </w:rPr>
        <w:t>по направлени</w:t>
      </w:r>
      <w:r w:rsidR="0000550D">
        <w:rPr>
          <w:rFonts w:ascii="Times New Roman" w:hAnsi="Times New Roman" w:cs="Times New Roman"/>
          <w:b/>
          <w:sz w:val="28"/>
          <w:szCs w:val="28"/>
        </w:rPr>
        <w:t>ям</w:t>
      </w:r>
      <w:r w:rsidRPr="001F2B18">
        <w:rPr>
          <w:rFonts w:ascii="Times New Roman" w:hAnsi="Times New Roman" w:cs="Times New Roman"/>
          <w:b/>
          <w:sz w:val="28"/>
          <w:szCs w:val="28"/>
        </w:rPr>
        <w:t xml:space="preserve"> 240700</w:t>
      </w:r>
      <w:r w:rsidR="0093496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34969" w:rsidRPr="005B54A9">
        <w:rPr>
          <w:rFonts w:ascii="Times New Roman" w:hAnsi="Times New Roman" w:cs="Times New Roman"/>
          <w:b/>
          <w:sz w:val="28"/>
          <w:szCs w:val="28"/>
        </w:rPr>
        <w:t>240901</w:t>
      </w:r>
      <w:r w:rsidRPr="005B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4A9" w:rsidRPr="005B54A9">
        <w:rPr>
          <w:rFonts w:ascii="Times New Roman" w:hAnsi="Times New Roman" w:cs="Times New Roman"/>
          <w:b/>
          <w:sz w:val="28"/>
          <w:szCs w:val="28"/>
        </w:rPr>
        <w:t>(655500)</w:t>
      </w:r>
      <w:r w:rsidR="005B54A9">
        <w:rPr>
          <w:rFonts w:ascii="Times New Roman" w:hAnsi="Times New Roman" w:cs="Times New Roman"/>
          <w:sz w:val="28"/>
          <w:szCs w:val="28"/>
        </w:rPr>
        <w:t xml:space="preserve"> </w:t>
      </w:r>
      <w:r w:rsidRPr="001F2B18">
        <w:rPr>
          <w:rFonts w:ascii="Times New Roman" w:hAnsi="Times New Roman" w:cs="Times New Roman"/>
          <w:b/>
          <w:sz w:val="28"/>
          <w:szCs w:val="28"/>
        </w:rPr>
        <w:t>Биотехнология</w:t>
      </w:r>
    </w:p>
    <w:p w:rsidR="001F2B18" w:rsidRPr="001F2B18" w:rsidRDefault="001F2B18" w:rsidP="0092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18">
        <w:rPr>
          <w:rFonts w:ascii="Times New Roman" w:hAnsi="Times New Roman" w:cs="Times New Roman"/>
          <w:b/>
          <w:sz w:val="28"/>
          <w:szCs w:val="28"/>
        </w:rPr>
        <w:t>на кафедре Фармацевтической технологии</w:t>
      </w:r>
    </w:p>
    <w:p w:rsidR="001F2B18" w:rsidRPr="001F2B18" w:rsidRDefault="001F2B18" w:rsidP="0092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18">
        <w:rPr>
          <w:rFonts w:ascii="Times New Roman" w:hAnsi="Times New Roman" w:cs="Times New Roman"/>
          <w:b/>
          <w:sz w:val="28"/>
          <w:szCs w:val="28"/>
        </w:rPr>
        <w:t>фармацевтического факультета</w:t>
      </w:r>
    </w:p>
    <w:p w:rsidR="001F2B18" w:rsidRPr="001F2B18" w:rsidRDefault="001F2B18" w:rsidP="001F2B18">
      <w:pPr>
        <w:rPr>
          <w:b/>
        </w:rPr>
      </w:pP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8"/>
        <w:gridCol w:w="1417"/>
        <w:gridCol w:w="1418"/>
        <w:gridCol w:w="1417"/>
      </w:tblGrid>
      <w:tr w:rsidR="00923E95" w:rsidRPr="001F2B18" w:rsidTr="001C3919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23E95" w:rsidRPr="00923E95" w:rsidRDefault="00923E95" w:rsidP="001F2B18">
            <w:pPr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23E95" w:rsidRPr="001F2B18" w:rsidRDefault="00923E95" w:rsidP="001F2B18">
            <w:pPr>
              <w:rPr>
                <w:b/>
                <w:bCs/>
              </w:rPr>
            </w:pPr>
            <w:r w:rsidRPr="001F2B18">
              <w:rPr>
                <w:b/>
                <w:bCs/>
              </w:rPr>
              <w:t xml:space="preserve">Дисциплины </w:t>
            </w:r>
            <w:proofErr w:type="gramStart"/>
            <w:r w:rsidRPr="001F2B18">
              <w:rPr>
                <w:b/>
                <w:bCs/>
              </w:rPr>
              <w:t>( модули</w:t>
            </w:r>
            <w:proofErr w:type="gramEnd"/>
            <w:r w:rsidRPr="001F2B18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Default="00923E95" w:rsidP="001F2B18">
            <w:r>
              <w:t xml:space="preserve">Набор 2013 г. </w:t>
            </w:r>
            <w:r w:rsidRPr="005B54A9">
              <w:t>(240700)</w:t>
            </w:r>
          </w:p>
          <w:p w:rsidR="00923E95" w:rsidRPr="001F2B18" w:rsidRDefault="00923E95" w:rsidP="0000550D">
            <w:pPr>
              <w:rPr>
                <w:b/>
                <w:bCs/>
              </w:rPr>
            </w:pPr>
            <w: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Default="00923E95" w:rsidP="00894150">
            <w:pPr>
              <w:rPr>
                <w:bCs/>
              </w:rPr>
            </w:pPr>
            <w:r w:rsidRPr="00894150">
              <w:rPr>
                <w:bCs/>
              </w:rPr>
              <w:t>Набор 2012 г.</w:t>
            </w:r>
            <w:r>
              <w:t xml:space="preserve"> </w:t>
            </w:r>
            <w:r w:rsidRPr="0014293B">
              <w:rPr>
                <w:bCs/>
              </w:rPr>
              <w:t>(240700)</w:t>
            </w:r>
          </w:p>
          <w:p w:rsidR="00923E95" w:rsidRPr="001F2B18" w:rsidRDefault="00923E95" w:rsidP="0000550D">
            <w:pPr>
              <w:rPr>
                <w:b/>
                <w:bCs/>
              </w:rPr>
            </w:pPr>
            <w:r>
              <w:rPr>
                <w:bCs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95" w:rsidRDefault="00923E95" w:rsidP="001F2B18">
            <w:pPr>
              <w:rPr>
                <w:bCs/>
              </w:rPr>
            </w:pPr>
            <w:r w:rsidRPr="00CE4C93">
              <w:rPr>
                <w:bCs/>
              </w:rPr>
              <w:t>Набор 2011 г.</w:t>
            </w:r>
          </w:p>
          <w:p w:rsidR="00923E95" w:rsidRDefault="00923E95" w:rsidP="001F2B18">
            <w:pPr>
              <w:rPr>
                <w:bCs/>
              </w:rPr>
            </w:pPr>
            <w:r>
              <w:rPr>
                <w:bCs/>
              </w:rPr>
              <w:t>(</w:t>
            </w:r>
            <w:r w:rsidRPr="0014293B">
              <w:rPr>
                <w:bCs/>
              </w:rPr>
              <w:t>240700</w:t>
            </w:r>
            <w:r>
              <w:rPr>
                <w:bCs/>
              </w:rPr>
              <w:t>)</w:t>
            </w:r>
          </w:p>
          <w:p w:rsidR="00923E95" w:rsidRPr="00CE4C93" w:rsidRDefault="00923E95" w:rsidP="001F2B18">
            <w:pPr>
              <w:rPr>
                <w:bCs/>
              </w:rPr>
            </w:pPr>
            <w:r>
              <w:rPr>
                <w:bCs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95" w:rsidRDefault="00923E95" w:rsidP="00934969">
            <w:pPr>
              <w:rPr>
                <w:bCs/>
              </w:rPr>
            </w:pPr>
            <w:r w:rsidRPr="00934969">
              <w:rPr>
                <w:bCs/>
              </w:rPr>
              <w:t>Набор 2010 г.</w:t>
            </w:r>
          </w:p>
          <w:p w:rsidR="00923E95" w:rsidRDefault="00923E95" w:rsidP="00934969">
            <w:pPr>
              <w:rPr>
                <w:bCs/>
              </w:rPr>
            </w:pPr>
            <w:r w:rsidRPr="00934969">
              <w:rPr>
                <w:bCs/>
              </w:rPr>
              <w:t>(240901)</w:t>
            </w:r>
          </w:p>
          <w:p w:rsidR="00923E95" w:rsidRPr="001F2B18" w:rsidRDefault="00923E95" w:rsidP="0000550D">
            <w:pPr>
              <w:rPr>
                <w:bCs/>
              </w:rPr>
            </w:pPr>
            <w:r w:rsidRPr="0000550D">
              <w:rPr>
                <w:bCs/>
              </w:rPr>
              <w:t>Инженер</w:t>
            </w:r>
          </w:p>
        </w:tc>
      </w:tr>
      <w:tr w:rsidR="00923E95" w:rsidRPr="001F2B18" w:rsidTr="001C3919">
        <w:trPr>
          <w:trHeight w:val="3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3E95" w:rsidRPr="001F2B18" w:rsidRDefault="00923E95" w:rsidP="001F2B18">
            <w:pPr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3E95" w:rsidRPr="001F2B18" w:rsidRDefault="00923E95" w:rsidP="001F2B18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E95" w:rsidRPr="0000550D" w:rsidRDefault="00923E95" w:rsidP="001F2B18">
            <w:pPr>
              <w:rPr>
                <w:bCs/>
                <w:iCs/>
                <w:sz w:val="16"/>
                <w:szCs w:val="16"/>
              </w:rPr>
            </w:pPr>
            <w:r w:rsidRPr="0000550D">
              <w:rPr>
                <w:bCs/>
                <w:iCs/>
                <w:sz w:val="16"/>
                <w:szCs w:val="16"/>
              </w:rPr>
              <w:t xml:space="preserve">Трудоемкость, </w:t>
            </w:r>
            <w:proofErr w:type="spellStart"/>
            <w:r w:rsidRPr="0000550D">
              <w:rPr>
                <w:bCs/>
                <w:iCs/>
                <w:sz w:val="16"/>
                <w:szCs w:val="16"/>
              </w:rPr>
              <w:t>акад.час</w:t>
            </w:r>
            <w:proofErr w:type="spellEnd"/>
            <w:r w:rsidRPr="0000550D">
              <w:rPr>
                <w:bCs/>
                <w:i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E95" w:rsidRPr="0000550D" w:rsidRDefault="00923E95" w:rsidP="001F2B18">
            <w:pPr>
              <w:rPr>
                <w:bCs/>
                <w:sz w:val="16"/>
                <w:szCs w:val="16"/>
              </w:rPr>
            </w:pPr>
            <w:r w:rsidRPr="0000550D">
              <w:rPr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00550D">
              <w:rPr>
                <w:bCs/>
                <w:sz w:val="16"/>
                <w:szCs w:val="16"/>
              </w:rPr>
              <w:t>акад.час</w:t>
            </w:r>
            <w:proofErr w:type="spellEnd"/>
            <w:r w:rsidRPr="0000550D">
              <w:rPr>
                <w:b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95" w:rsidRPr="0000550D" w:rsidRDefault="00923E95" w:rsidP="001F2B18">
            <w:pPr>
              <w:rPr>
                <w:bCs/>
                <w:sz w:val="16"/>
                <w:szCs w:val="16"/>
              </w:rPr>
            </w:pPr>
            <w:r w:rsidRPr="0000550D">
              <w:rPr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00550D">
              <w:rPr>
                <w:bCs/>
                <w:sz w:val="16"/>
                <w:szCs w:val="16"/>
              </w:rPr>
              <w:t>акад.час</w:t>
            </w:r>
            <w:proofErr w:type="spellEnd"/>
            <w:r w:rsidRPr="0000550D">
              <w:rPr>
                <w:bCs/>
                <w:sz w:val="16"/>
                <w:szCs w:val="16"/>
              </w:rPr>
              <w:t xml:space="preserve"> (Зачетные единицы)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95" w:rsidRPr="0000550D" w:rsidRDefault="00923E95" w:rsidP="001F2B18">
            <w:pPr>
              <w:rPr>
                <w:bCs/>
                <w:sz w:val="16"/>
                <w:szCs w:val="16"/>
              </w:rPr>
            </w:pPr>
            <w:r w:rsidRPr="0000550D">
              <w:rPr>
                <w:bCs/>
                <w:sz w:val="16"/>
                <w:szCs w:val="16"/>
              </w:rPr>
              <w:t xml:space="preserve">Трудоемкость, </w:t>
            </w:r>
            <w:proofErr w:type="spellStart"/>
            <w:r w:rsidRPr="0000550D">
              <w:rPr>
                <w:bCs/>
                <w:sz w:val="16"/>
                <w:szCs w:val="16"/>
              </w:rPr>
              <w:t>акад.час</w:t>
            </w:r>
            <w:proofErr w:type="spellEnd"/>
            <w:r w:rsidRPr="0000550D">
              <w:rPr>
                <w:bCs/>
                <w:sz w:val="16"/>
                <w:szCs w:val="16"/>
              </w:rPr>
              <w:t xml:space="preserve"> (Зачетные единицы)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E95" w:rsidRPr="000C0CF6" w:rsidRDefault="00923E95" w:rsidP="00923E9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0C0CF6" w:rsidRDefault="00923E95" w:rsidP="00923E95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0C0CF6" w:rsidRDefault="00923E95" w:rsidP="00923E9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CE4C93" w:rsidRDefault="00923E95" w:rsidP="00923E9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3E95" w:rsidRDefault="00923E95" w:rsidP="00923E9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3E95" w:rsidRDefault="00923E95" w:rsidP="00923E9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3E95" w:rsidRPr="000C0CF6" w:rsidRDefault="00923E95" w:rsidP="00ED247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923E95" w:rsidRDefault="00923E95" w:rsidP="00ED247E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ФАРМАЦЕВТИЧЕСКАЯ ТЕХНОЛОГИЯ</w:t>
            </w:r>
          </w:p>
          <w:p w:rsidR="00923E95" w:rsidRPr="00923E95" w:rsidRDefault="00923E95" w:rsidP="00ED247E">
            <w:pPr>
              <w:rPr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Твердые лекарственные формы. </w:t>
            </w:r>
            <w:proofErr w:type="spell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Биофармация</w:t>
            </w:r>
            <w:proofErr w:type="spell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. Вязко-пластичные лекарственные формы. Жидкие лекарственные </w:t>
            </w:r>
            <w:proofErr w:type="gram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формы .</w:t>
            </w:r>
            <w:proofErr w:type="gram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Экстракционные лекарственные формы. </w:t>
            </w:r>
            <w:proofErr w:type="spell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Maccooбмeнныe</w:t>
            </w:r>
            <w:proofErr w:type="spell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npoцeccы</w:t>
            </w:r>
            <w:proofErr w:type="spell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. </w:t>
            </w:r>
            <w:proofErr w:type="spell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Асептически</w:t>
            </w:r>
            <w:proofErr w:type="spell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приготовленные лекарственные формы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1F2B18" w:rsidRDefault="00923E95" w:rsidP="00ED247E">
            <w:pPr>
              <w:rPr>
                <w:b/>
                <w:bCs/>
                <w:iCs/>
              </w:rPr>
            </w:pPr>
            <w:r w:rsidRPr="000C0CF6">
              <w:rPr>
                <w:b/>
                <w:bCs/>
                <w:iCs/>
              </w:rPr>
              <w:t>108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E95" w:rsidRPr="001F2B18" w:rsidRDefault="00923E95" w:rsidP="00ED247E">
            <w:pPr>
              <w:rPr>
                <w:b/>
                <w:bCs/>
                <w:iCs/>
              </w:rPr>
            </w:pPr>
            <w:r w:rsidRPr="00CE4C93">
              <w:rPr>
                <w:b/>
                <w:bCs/>
                <w:iCs/>
              </w:rPr>
              <w:t>108 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r w:rsidRPr="008A27AE">
              <w:rPr>
                <w:b/>
                <w:bCs/>
                <w:iCs/>
              </w:rPr>
              <w:t>108 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Pr="001F2B18" w:rsidRDefault="00923E95" w:rsidP="00ED247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133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0C0CF6" w:rsidRDefault="00923E95" w:rsidP="00ED247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923E95" w:rsidRDefault="00923E95" w:rsidP="00ED247E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ТЕХНОЛОГИЯ ЛЕКАРСТВЕННЫХ ФОРМ</w:t>
            </w:r>
          </w:p>
          <w:p w:rsidR="00923E95" w:rsidRPr="00923E95" w:rsidRDefault="00923E95" w:rsidP="00ED247E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Государственная регламентация производства ЛП, ЛФ порошки. ЛФ с жидкой дисперсионной средой. и неводных растворов низкомолекулярных веществ. Изготовление микстур. Капли. Стерильные и </w:t>
            </w:r>
            <w:proofErr w:type="spellStart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асептически</w:t>
            </w:r>
            <w:proofErr w:type="spellEnd"/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изготавливаемые ЛП. Растворы высокомолекулярных соединений (ВМС) и защищенных коллоидов. Гетерогенные жидкие лекарственные формы. Суспензии. Эмульсии. Водные извлечения из лекарственного растительного сырья и экстрактов-концентратов. Лекарственные формы с упруго-вязко-пластичной средой. Мази гомогенные и гетерогенные. Суппозитории. Пилюли. Фармацевтическая несовместимость ингредиентов в прописях рецептов.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ED247E">
            <w:pPr>
              <w:rPr>
                <w:b/>
                <w:bCs/>
                <w:iCs/>
              </w:rPr>
            </w:pPr>
            <w:r w:rsidRPr="000C0CF6">
              <w:rPr>
                <w:b/>
                <w:bCs/>
                <w:iCs/>
              </w:rPr>
              <w:t>108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ED247E">
            <w:pPr>
              <w:rPr>
                <w:b/>
                <w:bCs/>
                <w:iCs/>
              </w:rPr>
            </w:pPr>
            <w:r w:rsidRPr="00CE4C93">
              <w:rPr>
                <w:b/>
                <w:bCs/>
                <w:iCs/>
              </w:rPr>
              <w:t>108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r w:rsidRPr="008A27AE">
              <w:rPr>
                <w:b/>
                <w:bCs/>
                <w:iCs/>
              </w:rPr>
              <w:t>108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Default="00923E95" w:rsidP="00ED247E">
            <w:pPr>
              <w:rPr>
                <w:b/>
                <w:bCs/>
                <w:iCs/>
              </w:rPr>
            </w:pPr>
          </w:p>
          <w:p w:rsidR="00923E95" w:rsidRPr="001F2B18" w:rsidRDefault="00923E95" w:rsidP="00ED247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0C0CF6" w:rsidRDefault="00923E95" w:rsidP="001F2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95" w:rsidRPr="00923E95" w:rsidRDefault="00923E95" w:rsidP="001F2B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ПРОМЫШЛЕННАЯ ЭКОЛОГИЯ</w:t>
            </w:r>
          </w:p>
          <w:p w:rsidR="00923E95" w:rsidRPr="00923E95" w:rsidRDefault="00923E95" w:rsidP="00923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Промышленная экология как предмет. Введение и определение основных понятий. Различные концепции исследований загрязнений окружающей среды. Направления исследований. Правовые аспекты охраны природы. Вода – объект исследований химической экологии. Контроль состава сточных вод. Классификация способов очистки сточных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вод. Требования, предъявляемые к качеству технической воды.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Обработка сточных вод. Схема завода по переработке сточных вод. Первичная и вторичная обработка сточных вод. Оборудование первичной и вторичной обработки сточных вод.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Третичная обработка сточных вод. Сорбция на активированном угле. Микрофильтрация. Коагуляция. Аэрация. Осаждение фосфатов. Удаление соединений азота. Электрохимические способы очистки воды. Стерилизация.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Специальные методы очистки промышленных сточных вод. Металлы. Растворы солей и суспензии. Радиоактивные отходы. Мини-очистительные заводы.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Биологические методы очистки сточных вод. Аэробные процессы. Гомогенные реакторы. Биофильтры. Анаэробные процессы очистки сточных вод. Формальная кинетика. Промышленные аппараты для сбраживания.  Реакторы с неподвижной биопленкой.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Химические методы очистки сточных вод. Очистка сточных вод с помощью окислителей и восстановителей. Нейтрализация.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Образование веществ, загрязняющих воздух. Образование загрязнений при сжигании топлива. Загрязнение воздуха промышленными выбросами. Цветная металлургия. Черная металлургия. Очистка нефти. Химическая промышленность. Пищевая промышленность. Сжигание отходов.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Предотвращение загрязнений воздуха. Очистка от газообразных соединений. Диоксид серы. Сероводород. Аммиак, амины, пиридиновые основания. Оксиды азота. Фтор и фториды. Дезодорация.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Очистка от аэрозольных загрязнений. </w:t>
            </w:r>
            <w:proofErr w:type="spellStart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Осадительные</w:t>
            </w:r>
            <w:proofErr w:type="spellEnd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 камеры. Электрофильтры. Циклоны. Фильтрование и мокрое </w:t>
            </w:r>
            <w:proofErr w:type="spellStart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пылеулавливание.Гигиенические</w:t>
            </w:r>
            <w:proofErr w:type="spellEnd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 основы нормирования загрязняющих веществ в атмосфере населенных мест. Допустимые выбросы в атмосферу. Методы расчета ПДК.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Защита биосферы от загрязнений твердыми отходами. Источники образования твердых отходов и их классификация. Утилизация отходов. Методы переработки твердых отходов.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Полигоны по обезвреживанию и захоронению токсичных промышленных отходов. Малоотходные и безотходные производства и технологии.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Обезвреживание и переработка радиоактивных отходов. Обезвреживание газообразных отходов. Обезвреживание жидких отходов. Обезвреживание твердых отходов.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Мониторинг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 w:rsidRPr="001F2B18">
              <w:rPr>
                <w:b/>
                <w:bCs/>
                <w:iCs/>
              </w:rPr>
              <w:lastRenderedPageBreak/>
              <w:t>108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 w:rsidRPr="00894150">
              <w:rPr>
                <w:b/>
                <w:bCs/>
                <w:iCs/>
              </w:rPr>
              <w:t>108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Pr="001F2B18" w:rsidRDefault="00923E95" w:rsidP="001F2B1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Default="00923E95" w:rsidP="001F2B18">
            <w:pPr>
              <w:rPr>
                <w:b/>
                <w:bCs/>
                <w:iCs/>
              </w:rPr>
            </w:pPr>
          </w:p>
          <w:p w:rsidR="00923E95" w:rsidRPr="001F2B18" w:rsidRDefault="00923E95" w:rsidP="001F2B18">
            <w:pPr>
              <w:rPr>
                <w:b/>
                <w:bCs/>
                <w:iCs/>
              </w:rPr>
            </w:pPr>
            <w:r w:rsidRPr="00982869">
              <w:rPr>
                <w:b/>
                <w:bCs/>
                <w:iCs/>
              </w:rPr>
              <w:t>119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F66812" w:rsidRDefault="00923E95" w:rsidP="00F6681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923E95" w:rsidRDefault="00923E95" w:rsidP="00F66812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ТЕХНОЛОГИЯ ПРОИЗВОДСТВА БИОЛОГИЧЕСКИ АКТИВНЫХ ВЕЩЕСТВ</w:t>
            </w:r>
          </w:p>
          <w:p w:rsidR="00923E95" w:rsidRPr="00923E95" w:rsidRDefault="00923E95" w:rsidP="00923E95">
            <w:pPr>
              <w:rPr>
                <w:b/>
                <w:bCs/>
                <w:i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Нормирование производства БАВ. GMP. Организация асептических условий. GEP. Подготовка воздуха для производства БАВ. Обеспечение требований GMP. Водоподготовка. Контроль условий производства БАВ.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1F2B18" w:rsidRDefault="00923E95" w:rsidP="001F2B18">
            <w:pPr>
              <w:rPr>
                <w:b/>
                <w:bCs/>
                <w:iCs/>
              </w:rPr>
            </w:pPr>
            <w:r w:rsidRPr="00C218FB">
              <w:rPr>
                <w:b/>
                <w:bCs/>
                <w:iCs/>
              </w:rPr>
              <w:t>102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437358" w:rsidRDefault="00923E95" w:rsidP="00437358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95" w:rsidRPr="00923E95" w:rsidRDefault="00923E95" w:rsidP="00437358">
            <w:pPr>
              <w:pStyle w:val="2"/>
              <w:jc w:val="left"/>
              <w:rPr>
                <w:sz w:val="16"/>
                <w:szCs w:val="16"/>
              </w:rPr>
            </w:pPr>
            <w:r w:rsidRPr="00923E95">
              <w:rPr>
                <w:sz w:val="16"/>
                <w:szCs w:val="16"/>
              </w:rPr>
              <w:t xml:space="preserve">МЕТРОЛОГИЯ, </w:t>
            </w:r>
            <w:proofErr w:type="gramStart"/>
            <w:r w:rsidRPr="00923E95">
              <w:rPr>
                <w:sz w:val="16"/>
                <w:szCs w:val="16"/>
              </w:rPr>
              <w:t>СТАНДАРТИЗАЦИЯ  И</w:t>
            </w:r>
            <w:proofErr w:type="gramEnd"/>
            <w:r w:rsidRPr="00923E95">
              <w:rPr>
                <w:sz w:val="16"/>
                <w:szCs w:val="16"/>
              </w:rPr>
              <w:t xml:space="preserve"> СЕРТИФИКАЦИЯ</w:t>
            </w:r>
          </w:p>
          <w:p w:rsidR="00923E95" w:rsidRPr="00923E95" w:rsidRDefault="00923E95" w:rsidP="00437358">
            <w:pPr>
              <w:pStyle w:val="3"/>
              <w:spacing w:line="240" w:lineRule="auto"/>
              <w:jc w:val="left"/>
              <w:rPr>
                <w:sz w:val="16"/>
                <w:szCs w:val="16"/>
              </w:rPr>
            </w:pPr>
            <w:r w:rsidRPr="00923E95">
              <w:rPr>
                <w:sz w:val="16"/>
                <w:szCs w:val="16"/>
              </w:rPr>
              <w:lastRenderedPageBreak/>
              <w:t xml:space="preserve">Основы государственной системы стандартизации. Основные положения. Органы и службы стандартизации. Работы, выполняемые при стандартизации. Категории и виды нормативных документов по стандартизации. Научно-технические принципы и методы стандартизации. </w:t>
            </w:r>
          </w:p>
          <w:p w:rsidR="00923E95" w:rsidRPr="00923E95" w:rsidRDefault="00923E95" w:rsidP="00437358">
            <w:pPr>
              <w:spacing w:line="232" w:lineRule="auto"/>
              <w:ind w:firstLin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понятия и термины метрологии. Физические свойства, величины и шкалы. Системы физических величин и их единиц. Международная система единиц. Воспроизведение единиц физических величин и единство измерений. Эталоны единиц системы СИ. Виды и методы измерений. Средства измерений. Основы техники измерений параметров технических систем. Качество измерений. Методы обработки результатов измерений.  Основы метрологического обеспечения. Метрологические службы и организации. </w:t>
            </w:r>
          </w:p>
          <w:p w:rsidR="00923E95" w:rsidRPr="00923E95" w:rsidRDefault="00923E95" w:rsidP="00437358">
            <w:pPr>
              <w:spacing w:line="23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сертификации. Виды сертификации. Система сертификации, основные стадии сертификации. Качество продукции и </w:t>
            </w:r>
            <w:proofErr w:type="gramStart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защита  потребителя</w:t>
            </w:r>
            <w:proofErr w:type="gramEnd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. Организация деятельности органов по сертификации; Организация деятельности испытательных </w:t>
            </w:r>
            <w:proofErr w:type="gramStart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лабораторий;  Аккредитация</w:t>
            </w:r>
            <w:proofErr w:type="gramEnd"/>
            <w:r w:rsidRPr="00923E95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по сертификации и испытательных лабораторий.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Pr="001F2B18" w:rsidRDefault="00923E95" w:rsidP="004373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Pr="001F2B18" w:rsidRDefault="00923E95" w:rsidP="004373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Pr="001F2B18" w:rsidRDefault="00923E95" w:rsidP="004373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Default="00923E95" w:rsidP="00437358">
            <w:pPr>
              <w:rPr>
                <w:b/>
                <w:bCs/>
                <w:iCs/>
              </w:rPr>
            </w:pPr>
          </w:p>
          <w:p w:rsidR="00923E95" w:rsidRPr="001F2B18" w:rsidRDefault="00923E95" w:rsidP="004373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68</w:t>
            </w:r>
          </w:p>
        </w:tc>
      </w:tr>
      <w:tr w:rsidR="00923E95" w:rsidRPr="001F2B18" w:rsidTr="001C39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Pr="00B471F3" w:rsidRDefault="00923E95" w:rsidP="00B471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95" w:rsidRPr="00923E95" w:rsidRDefault="00923E95" w:rsidP="00B471F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OLE_LINK2"/>
            <w:r w:rsidRPr="00923E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 КАЧЕСТВА ТЕХНОЛОГИЧЕСКОГО ПРОЦЕССА</w:t>
            </w:r>
            <w:bookmarkEnd w:id="1"/>
          </w:p>
          <w:p w:rsidR="00923E95" w:rsidRPr="00923E95" w:rsidRDefault="00923E95" w:rsidP="00B471F3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923E95">
              <w:rPr>
                <w:rFonts w:ascii="Times New Roman" w:hAnsi="Times New Roman" w:cs="Times New Roman"/>
                <w:sz w:val="16"/>
                <w:szCs w:val="16"/>
              </w:rPr>
              <w:t>Качество как объект контроля. Основные понятия и определения. Показатели качества. Виды и структура нормативно-технологической документации описания производственных процессов (технологическая пропись, технологическая карта, технологический регламент). Разовый, временный и постоянный технологические регламенты. Общая характеристика производства. Описание технологического процесса и схемы. Нормы технологического режима. Разновидности контроля. Понятие контрольной операции. Классификация видов контроля. Выборочный контроль. Текущий контроль технологических процессов.</w:t>
            </w:r>
            <w:r w:rsidRPr="00923E9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Default="00923E95" w:rsidP="00B471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95" w:rsidRDefault="00923E95" w:rsidP="00B471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B471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5" w:rsidRDefault="00923E95" w:rsidP="00B471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133</w:t>
            </w:r>
          </w:p>
        </w:tc>
      </w:tr>
    </w:tbl>
    <w:p w:rsidR="001F2B18" w:rsidRDefault="001F2B18" w:rsidP="0000550D"/>
    <w:sectPr w:rsidR="001F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18"/>
    <w:rsid w:val="0000550D"/>
    <w:rsid w:val="000C0CF6"/>
    <w:rsid w:val="0014293B"/>
    <w:rsid w:val="001C3919"/>
    <w:rsid w:val="001F2B18"/>
    <w:rsid w:val="002927C1"/>
    <w:rsid w:val="00437358"/>
    <w:rsid w:val="00587B00"/>
    <w:rsid w:val="005B54A9"/>
    <w:rsid w:val="00894150"/>
    <w:rsid w:val="00923E95"/>
    <w:rsid w:val="00934969"/>
    <w:rsid w:val="00982869"/>
    <w:rsid w:val="00B471F3"/>
    <w:rsid w:val="00B72501"/>
    <w:rsid w:val="00C218FB"/>
    <w:rsid w:val="00C54EE1"/>
    <w:rsid w:val="00CE4C93"/>
    <w:rsid w:val="00ED247E"/>
    <w:rsid w:val="00F050A4"/>
    <w:rsid w:val="00F47122"/>
    <w:rsid w:val="00F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E27B-DB97-442E-87AF-5C722AD4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37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373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437358"/>
    <w:pPr>
      <w:spacing w:after="0" w:line="232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373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Скатков</dc:creator>
  <cp:keywords/>
  <dc:description/>
  <cp:lastModifiedBy>Сергей Скатков</cp:lastModifiedBy>
  <cp:revision>20</cp:revision>
  <dcterms:created xsi:type="dcterms:W3CDTF">2014-10-29T09:20:00Z</dcterms:created>
  <dcterms:modified xsi:type="dcterms:W3CDTF">2014-10-29T10:47:00Z</dcterms:modified>
</cp:coreProperties>
</file>