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07F" w:rsidRDefault="00000000">
      <w:pPr>
        <w:spacing w:line="276" w:lineRule="auto"/>
        <w:ind w:left="3969"/>
      </w:pPr>
      <w: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E9607F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tbl>
      <w:tblPr>
        <w:tblStyle w:val="TableNormal"/>
        <w:tblW w:w="9921" w:type="dxa"/>
        <w:tblInd w:w="10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551"/>
      </w:tblGrid>
      <w:tr w:rsidR="00E9607F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</w:pPr>
            <w:r>
              <w:t>University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  <w:jc w:val="left"/>
            </w:pPr>
            <w:proofErr w:type="spellStart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Sechenov</w:t>
            </w:r>
            <w:proofErr w:type="spellEnd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University</w:t>
            </w:r>
          </w:p>
        </w:tc>
      </w:tr>
      <w:tr w:rsidR="00E9607F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</w:pPr>
            <w:r>
              <w:t xml:space="preserve">Level </w:t>
            </w:r>
            <w:proofErr w:type="spellStart"/>
            <w:r>
              <w:t>of</w:t>
            </w:r>
            <w:proofErr w:type="spellEnd"/>
            <w:r>
              <w:t xml:space="preserve"> English </w:t>
            </w:r>
            <w:proofErr w:type="spellStart"/>
            <w:r>
              <w:t>proficiency</w:t>
            </w:r>
            <w:proofErr w:type="spellEnd"/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  <w:jc w:val="left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B2</w:t>
            </w:r>
          </w:p>
        </w:tc>
      </w:tr>
      <w:tr w:rsidR="00E9607F" w:rsidRPr="00C00E7C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Educational program and field of the educational program for which the applicant will be accepted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3.02 Clinical medicine </w:t>
            </w:r>
          </w:p>
          <w:p w:rsidR="00E9607F" w:rsidRDefault="00000000">
            <w:pPr>
              <w:spacing w:after="0"/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BA, ANESTHESIOLOGY </w:t>
            </w:r>
          </w:p>
          <w:p w:rsidR="00E9607F" w:rsidRPr="00C00E7C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DS, CRITICAL CARE MEDICINE </w:t>
            </w:r>
          </w:p>
        </w:tc>
      </w:tr>
      <w:tr w:rsidR="00E9607F" w:rsidRPr="00C00E7C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lang w:val="en-US"/>
              </w:rPr>
            </w:pPr>
            <w:r w:rsidRPr="00C00E7C">
              <w:rPr>
                <w:rFonts w:ascii="Times Roman" w:hAnsi="Times Roman"/>
                <w:sz w:val="23"/>
                <w:szCs w:val="23"/>
                <w:lang w:val="en-US"/>
              </w:rPr>
              <w:t xml:space="preserve">Nitric oxide, Hypoxic and </w:t>
            </w:r>
            <w:proofErr w:type="spellStart"/>
            <w:r w:rsidRPr="00C00E7C">
              <w:rPr>
                <w:rFonts w:ascii="Times Roman" w:hAnsi="Times Roman"/>
                <w:sz w:val="23"/>
                <w:szCs w:val="23"/>
                <w:lang w:val="en-US"/>
              </w:rPr>
              <w:t>Hyperoxic</w:t>
            </w:r>
            <w:proofErr w:type="spellEnd"/>
            <w:r w:rsidRPr="00C00E7C">
              <w:rPr>
                <w:rFonts w:ascii="Times Roman" w:hAnsi="Times Roman"/>
                <w:sz w:val="23"/>
                <w:szCs w:val="23"/>
                <w:lang w:val="en-US"/>
              </w:rPr>
              <w:t xml:space="preserve"> Preconditioning for multiorgan protection </w:t>
            </w:r>
            <w:proofErr w:type="spellStart"/>
            <w:r w:rsidRPr="00C00E7C">
              <w:rPr>
                <w:rFonts w:ascii="Times Roman" w:hAnsi="Times Roman"/>
                <w:sz w:val="23"/>
                <w:szCs w:val="23"/>
                <w:lang w:val="en-US"/>
              </w:rPr>
              <w:t>agains</w:t>
            </w:r>
            <w:proofErr w:type="spellEnd"/>
            <w:r w:rsidRPr="00C00E7C">
              <w:rPr>
                <w:rFonts w:ascii="Times Roman" w:hAnsi="Times Roman"/>
                <w:sz w:val="23"/>
                <w:szCs w:val="23"/>
                <w:lang w:val="en-US"/>
              </w:rPr>
              <w:t xml:space="preserve"> Ischemia-Reperfusion Injury in patients undergoing cardiac surgery with Cardiopulmonary Bypass and non-cardiac surgery (long-term abdominal surgery).</w:t>
            </w:r>
          </w:p>
          <w:p w:rsidR="00E9607F" w:rsidRPr="00C00E7C" w:rsidRDefault="00E9607F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lang w:val="en-US"/>
              </w:rPr>
            </w:pPr>
          </w:p>
        </w:tc>
      </w:tr>
      <w:tr w:rsidR="00E9607F" w:rsidRPr="00C00E7C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List of the topics offered for the prospective scientific research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jc w:val="left"/>
              <w:rPr>
                <w:lang w:val="en-US"/>
              </w:rPr>
            </w:pPr>
            <w:r w:rsidRPr="00C00E7C">
              <w:rPr>
                <w:lang w:val="en-US"/>
              </w:rPr>
              <w:t xml:space="preserve">1. </w:t>
            </w:r>
            <w:r>
              <w:rPr>
                <w:lang w:val="en-US"/>
              </w:rPr>
              <w:t xml:space="preserve">Endothelial dysfunction and oxygen </w:t>
            </w:r>
            <w:proofErr w:type="spellStart"/>
            <w:r>
              <w:rPr>
                <w:lang w:val="en-US"/>
              </w:rPr>
              <w:t>dys</w:t>
            </w:r>
            <w:proofErr w:type="spellEnd"/>
            <w:r>
              <w:rPr>
                <w:lang w:val="en-US"/>
              </w:rPr>
              <w:t xml:space="preserve">/balance as a </w:t>
            </w:r>
            <w:proofErr w:type="gramStart"/>
            <w:r>
              <w:rPr>
                <w:lang w:val="en-US"/>
              </w:rPr>
              <w:t>causes</w:t>
            </w:r>
            <w:proofErr w:type="gramEnd"/>
            <w:r>
              <w:rPr>
                <w:lang w:val="en-US"/>
              </w:rPr>
              <w:t xml:space="preserve"> of multiorgan dysfunction after cardiac surgery 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 w:rsidRPr="00C00E7C">
              <w:rPr>
                <w:lang w:val="en-US"/>
              </w:rPr>
              <w:t xml:space="preserve">2. </w:t>
            </w:r>
            <w:r>
              <w:rPr>
                <w:lang w:val="en-US"/>
              </w:rPr>
              <w:t>Cardiorenal protection in cardiac surgery based on nitric oxide inhalation in the perioperative period.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3. Cardiorenal protection based on inhalation of nitric oxide in the perioperative period during long-term laparoscopic surgery in patients with cardiovascular pathology.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4. Gastrointestinal protection against ischemia-reperfusion injury in cardiac surgery based on insufflation of nitric oxide into the cardiopulmonary bypass circuit.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5. Nephroprotection in abdominal surgery based on intraoperative inhalation of nitric oxide.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6. Protection of abdominal organs based on perioperative inhalation of nitric oxide during long-term laparoscopic surgery.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  <w:proofErr w:type="spellStart"/>
            <w:r>
              <w:rPr>
                <w:lang w:val="en-US"/>
              </w:rPr>
              <w:t>Cerebroprotection</w:t>
            </w:r>
            <w:proofErr w:type="spellEnd"/>
            <w:r>
              <w:rPr>
                <w:lang w:val="en-US"/>
              </w:rPr>
              <w:t xml:space="preserve"> based on perioperative inhalation of nitric oxide during long-term abdominal surgery</w:t>
            </w:r>
          </w:p>
          <w:p w:rsidR="00E9607F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>8. Hypoxic-</w:t>
            </w:r>
            <w:proofErr w:type="spellStart"/>
            <w:r>
              <w:rPr>
                <w:lang w:val="en-US"/>
              </w:rPr>
              <w:t>hyperoxic</w:t>
            </w:r>
            <w:proofErr w:type="spellEnd"/>
            <w:r>
              <w:rPr>
                <w:lang w:val="en-US"/>
              </w:rPr>
              <w:t xml:space="preserve"> preconditioning for neuroprotection in the perioperative period during long-term surgical procedures (cardiac and non-cardiac).</w:t>
            </w:r>
          </w:p>
          <w:p w:rsidR="00E9607F" w:rsidRPr="00C00E7C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 A preventive </w:t>
            </w:r>
            <w:proofErr w:type="spellStart"/>
            <w:r>
              <w:rPr>
                <w:lang w:val="en-US"/>
              </w:rPr>
              <w:t>organoprotective</w:t>
            </w:r>
            <w:proofErr w:type="spellEnd"/>
            <w:r>
              <w:rPr>
                <w:lang w:val="en-US"/>
              </w:rPr>
              <w:t xml:space="preserve"> methods by enhancing respiratory and metabolic adaptation to stress based on hypoxic, </w:t>
            </w:r>
            <w:proofErr w:type="spellStart"/>
            <w:r>
              <w:rPr>
                <w:lang w:val="en-US"/>
              </w:rPr>
              <w:t>hyperoxic</w:t>
            </w:r>
            <w:proofErr w:type="spellEnd"/>
            <w:r>
              <w:rPr>
                <w:lang w:val="en-US"/>
              </w:rPr>
              <w:t xml:space="preserve"> gas mixtures and inhalation of nitric oxide during elective long-term surgical interventions.</w:t>
            </w:r>
          </w:p>
        </w:tc>
      </w:tr>
      <w:tr w:rsidR="00E9607F" w:rsidRPr="00C00E7C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/>
        </w:trPr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423" w:rsidRDefault="00000000" w:rsidP="0066042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 </w:t>
            </w:r>
          </w:p>
          <w:p w:rsidR="00660423" w:rsidRDefault="00660423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038350" cy="2513330"/>
                  <wp:effectExtent l="0" t="0" r="6350" b="1270"/>
                  <wp:docPr id="8959701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70196" name="Рисунок 89597019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51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0423" w:rsidRDefault="00660423">
            <w:pPr>
              <w:rPr>
                <w:lang w:val="en-US"/>
              </w:rPr>
            </w:pPr>
          </w:p>
          <w:p w:rsidR="00E9607F" w:rsidRPr="00C00E7C" w:rsidRDefault="00000000">
            <w:pPr>
              <w:rPr>
                <w:lang w:val="en-US"/>
              </w:rPr>
            </w:pPr>
            <w:r>
              <w:rPr>
                <w:lang w:val="en-US"/>
              </w:rPr>
              <w:t>Research supervisor:</w:t>
            </w:r>
          </w:p>
          <w:p w:rsidR="00E9607F" w:rsidRPr="00C00E7C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Irina A. Mandel, C a n d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d a t e o </w:t>
            </w:r>
            <w:proofErr w:type="gramStart"/>
            <w:r>
              <w:rPr>
                <w:lang w:val="en-US"/>
              </w:rPr>
              <w:t>f  S</w:t>
            </w:r>
            <w:proofErr w:type="gramEnd"/>
            <w:r>
              <w:rPr>
                <w:lang w:val="en-US"/>
              </w:rPr>
              <w:t xml:space="preserve"> c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e n c e (Academician E. N. </w:t>
            </w:r>
            <w:proofErr w:type="spellStart"/>
            <w:r>
              <w:rPr>
                <w:lang w:val="en-US"/>
              </w:rPr>
              <w:t>Meshalkin</w:t>
            </w:r>
            <w:proofErr w:type="spellEnd"/>
            <w:r>
              <w:rPr>
                <w:lang w:val="en-US"/>
              </w:rPr>
              <w:t xml:space="preserve"> Novosibirsk Research Institute of Circulatory Pathology for the Ministry of Health of the Russian Federation) 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imes Roman" w:eastAsia="Times Roman" w:hAnsi="Times Roman" w:cs="Times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  <w:lang w:val="en-US"/>
              </w:rPr>
              <w:t xml:space="preserve">3. MEDICAL AND HEALTH SCIENCES </w:t>
            </w:r>
          </w:p>
          <w:p w:rsidR="00E9607F" w:rsidRPr="00C00E7C" w:rsidRDefault="00000000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  <w:rPr>
                <w:rFonts w:ascii="Times Roman" w:eastAsia="Times Roman" w:hAnsi="Times Roman" w:cs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 xml:space="preserve">3.02 </w:t>
            </w:r>
            <w:r>
              <w:rPr>
                <w:rFonts w:ascii="Times New Roman" w:hAnsi="Times New Roman"/>
                <w:lang w:val="en-US"/>
              </w:rPr>
              <w:t xml:space="preserve">Clinical medicine </w:t>
            </w:r>
          </w:p>
          <w:p w:rsidR="00E9607F" w:rsidRPr="00C00E7C" w:rsidRDefault="00000000">
            <w:pPr>
              <w:spacing w:after="0"/>
              <w:jc w:val="left"/>
              <w:rPr>
                <w:i/>
                <w:iCs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 xml:space="preserve"> </w:t>
            </w:r>
            <w:r w:rsidRPr="00C00E7C">
              <w:rPr>
                <w:i/>
                <w:iCs/>
                <w:lang w:val="en-US"/>
              </w:rPr>
              <w:t xml:space="preserve">BA, ANESTHESIOLOGY </w:t>
            </w:r>
          </w:p>
          <w:p w:rsidR="00E9607F" w:rsidRPr="00C00E7C" w:rsidRDefault="00000000">
            <w:pPr>
              <w:spacing w:after="0"/>
              <w:jc w:val="lef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 xml:space="preserve"> </w:t>
            </w:r>
            <w:r w:rsidRPr="00C00E7C">
              <w:rPr>
                <w:i/>
                <w:iCs/>
                <w:lang w:val="en-US"/>
              </w:rPr>
              <w:t xml:space="preserve">DS, CRITICAL CARE MEDICINE </w:t>
            </w:r>
          </w:p>
        </w:tc>
      </w:tr>
      <w:tr w:rsidR="00E9607F" w:rsidRPr="00C00E7C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7F" w:rsidRPr="00C00E7C" w:rsidRDefault="00E9607F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Pr="00C00E7C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C00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research</w:t>
            </w:r>
            <w:r w:rsidRPr="00C00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interests</w:t>
            </w:r>
          </w:p>
          <w:p w:rsidR="00E9607F" w:rsidRPr="00C00E7C" w:rsidRDefault="00000000">
            <w:pPr>
              <w:spacing w:after="0"/>
              <w:rPr>
                <w:lang w:val="en-US"/>
              </w:rPr>
            </w:pPr>
            <w:r w:rsidRPr="00C00E7C">
              <w:rPr>
                <w:lang w:val="en-US"/>
              </w:rPr>
              <w:t xml:space="preserve">Mechanisms of organ damage, endothelial dysfunction and oxygen balance as causes of multiple organ </w:t>
            </w:r>
            <w:r>
              <w:rPr>
                <w:lang w:val="en-US"/>
              </w:rPr>
              <w:t>failure</w:t>
            </w:r>
            <w:r w:rsidRPr="00C00E7C">
              <w:rPr>
                <w:lang w:val="en-US"/>
              </w:rPr>
              <w:t xml:space="preserve"> in cardiac surgery and laparoscopic surgery. </w:t>
            </w:r>
            <w:proofErr w:type="spellStart"/>
            <w:r w:rsidRPr="00C00E7C">
              <w:rPr>
                <w:lang w:val="en-US"/>
              </w:rPr>
              <w:t>Organoprotection</w:t>
            </w:r>
            <w:proofErr w:type="spellEnd"/>
            <w:r w:rsidRPr="00C00E7C">
              <w:rPr>
                <w:lang w:val="en-US"/>
              </w:rPr>
              <w:t xml:space="preserve"> based on hypoxic, </w:t>
            </w:r>
            <w:proofErr w:type="spellStart"/>
            <w:r w:rsidRPr="00C00E7C">
              <w:rPr>
                <w:lang w:val="en-US"/>
              </w:rPr>
              <w:t>hyperoxic</w:t>
            </w:r>
            <w:proofErr w:type="spellEnd"/>
            <w:r w:rsidRPr="00C00E7C">
              <w:rPr>
                <w:lang w:val="en-US"/>
              </w:rPr>
              <w:t xml:space="preserve"> gas mixtures and inhalation of nitric oxide in cardiac and non-cardiac surgery. Dysfunction of the right heart and protection against ischemia-reperfusion injury in cardiac surgery. Preventive organ protection by increasing respiratory and metabolic adaptation to stress based on hypoxic, </w:t>
            </w:r>
            <w:proofErr w:type="spellStart"/>
            <w:r w:rsidRPr="00C00E7C">
              <w:rPr>
                <w:lang w:val="en-US"/>
              </w:rPr>
              <w:t>hyperoxic</w:t>
            </w:r>
            <w:proofErr w:type="spellEnd"/>
            <w:r w:rsidRPr="00C00E7C">
              <w:rPr>
                <w:lang w:val="en-US"/>
              </w:rPr>
              <w:t xml:space="preserve"> gas mixtures and inhalation of nitric oxide.</w:t>
            </w:r>
          </w:p>
        </w:tc>
      </w:tr>
      <w:tr w:rsidR="00E9607F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7F" w:rsidRPr="00C00E7C" w:rsidRDefault="00E9607F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</w:pPr>
            <w:r>
              <w:rPr>
                <w:lang w:val="en-US"/>
              </w:rPr>
              <w:t>Research</w:t>
            </w:r>
            <w:r>
              <w:t xml:space="preserve"> </w:t>
            </w:r>
            <w:r>
              <w:rPr>
                <w:lang w:val="en-US"/>
              </w:rPr>
              <w:t>highlights</w:t>
            </w:r>
            <w:r>
              <w:t xml:space="preserve"> </w:t>
            </w:r>
            <w:r>
              <w:rPr>
                <w:i/>
                <w:iCs/>
              </w:rPr>
              <w:t>(при наличии)</w:t>
            </w:r>
          </w:p>
          <w:p w:rsidR="00E9607F" w:rsidRDefault="00000000">
            <w:pPr>
              <w:spacing w:after="0"/>
            </w:pPr>
            <w:r>
              <w:rPr>
                <w:i/>
                <w:iCs/>
              </w:rPr>
              <w:t>Необходимо указать отличительные особенности данной программы, которые бы выделяли её перед остальными. (Использование уникального оборудования, взаимодействие с зарубежными учеными и исследовательскими центрами, финансовая поддержка аспиранта и т.д.)</w:t>
            </w:r>
          </w:p>
        </w:tc>
      </w:tr>
      <w:tr w:rsidR="00E9607F" w:rsidRPr="00C00E7C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7F" w:rsidRDefault="00E9607F"/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  <w:r w:rsidRPr="00C00E7C">
              <w:rPr>
                <w:lang w:val="en-US"/>
              </w:rPr>
              <w:t>’</w:t>
            </w:r>
            <w:r>
              <w:rPr>
                <w:lang w:val="en-US"/>
              </w:rPr>
              <w:t>s</w:t>
            </w:r>
            <w:r w:rsidRPr="00C00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specific</w:t>
            </w:r>
            <w:r w:rsidRPr="00C00E7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requirements</w:t>
            </w:r>
            <w:r w:rsidRPr="00C00E7C">
              <w:rPr>
                <w:lang w:val="en-US"/>
              </w:rPr>
              <w:t>:</w:t>
            </w:r>
          </w:p>
          <w:p w:rsidR="00E9607F" w:rsidRPr="00C00E7C" w:rsidRDefault="00E9607F">
            <w:pPr>
              <w:spacing w:after="0"/>
              <w:rPr>
                <w:lang w:val="en-US"/>
              </w:rPr>
            </w:pPr>
          </w:p>
          <w:p w:rsidR="00E9607F" w:rsidRPr="00C00E7C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Basic </w:t>
            </w:r>
            <w:r w:rsidRPr="00C00E7C">
              <w:rPr>
                <w:lang w:val="en-US"/>
              </w:rPr>
              <w:t xml:space="preserve">Biomedical statistics </w:t>
            </w:r>
          </w:p>
        </w:tc>
      </w:tr>
      <w:tr w:rsidR="00E9607F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0"/>
        </w:trPr>
        <w:tc>
          <w:tcPr>
            <w:tcW w:w="3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7F" w:rsidRPr="00C00E7C" w:rsidRDefault="00E9607F">
            <w:pPr>
              <w:rPr>
                <w:lang w:val="en-US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Default="00000000">
            <w:pPr>
              <w:spacing w:after="0"/>
            </w:pPr>
            <w:proofErr w:type="spellStart"/>
            <w:r>
              <w:t>Supervisor’s</w:t>
            </w:r>
            <w:proofErr w:type="spellEnd"/>
            <w:r>
              <w:t xml:space="preserve">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publications</w:t>
            </w:r>
            <w:proofErr w:type="spellEnd"/>
          </w:p>
          <w:p w:rsidR="00E9607F" w:rsidRDefault="00000000">
            <w:pPr>
              <w:numPr>
                <w:ilvl w:val="0"/>
                <w:numId w:val="5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Influence of Hypoxic and </w:t>
            </w:r>
            <w:proofErr w:type="spellStart"/>
            <w:r>
              <w:rPr>
                <w:i/>
                <w:iCs/>
                <w:lang w:val="en-US"/>
              </w:rPr>
              <w:t>Hyperoxic</w:t>
            </w:r>
            <w:proofErr w:type="spellEnd"/>
            <w:r>
              <w:rPr>
                <w:i/>
                <w:iCs/>
                <w:lang w:val="en-US"/>
              </w:rPr>
              <w:t xml:space="preserve"> Preconditioning on Endothelial Function in a Model of Myocardial Ischemia Reperfusion Injury with Cardiopulmonary Bypass (Experimental Study). Mandel, I.A.; </w:t>
            </w:r>
            <w:proofErr w:type="spellStart"/>
            <w:r>
              <w:rPr>
                <w:i/>
                <w:iCs/>
                <w:lang w:val="en-US"/>
              </w:rPr>
              <w:t>Podoksenov</w:t>
            </w:r>
            <w:proofErr w:type="spellEnd"/>
            <w:r>
              <w:rPr>
                <w:i/>
                <w:iCs/>
                <w:lang w:val="en-US"/>
              </w:rPr>
              <w:t xml:space="preserve">, Y.K.; </w:t>
            </w:r>
            <w:proofErr w:type="spellStart"/>
            <w:r>
              <w:rPr>
                <w:i/>
                <w:iCs/>
                <w:lang w:val="en-US"/>
              </w:rPr>
              <w:t>Suhodolo</w:t>
            </w:r>
            <w:proofErr w:type="spellEnd"/>
            <w:r>
              <w:rPr>
                <w:i/>
                <w:iCs/>
                <w:lang w:val="en-US"/>
              </w:rPr>
              <w:t xml:space="preserve">, I.V.; An, D.A.; </w:t>
            </w:r>
            <w:proofErr w:type="spellStart"/>
            <w:r>
              <w:rPr>
                <w:i/>
                <w:iCs/>
                <w:lang w:val="en-US"/>
              </w:rPr>
              <w:t>Mikheev</w:t>
            </w:r>
            <w:proofErr w:type="spellEnd"/>
            <w:r>
              <w:rPr>
                <w:i/>
                <w:iCs/>
                <w:lang w:val="en-US"/>
              </w:rPr>
              <w:t xml:space="preserve">, S.L.; </w:t>
            </w:r>
            <w:proofErr w:type="spellStart"/>
            <w:r>
              <w:rPr>
                <w:i/>
                <w:iCs/>
                <w:lang w:val="en-US"/>
              </w:rPr>
              <w:t>Podoksenov</w:t>
            </w:r>
            <w:proofErr w:type="spellEnd"/>
            <w:r>
              <w:rPr>
                <w:i/>
                <w:iCs/>
                <w:lang w:val="en-US"/>
              </w:rPr>
              <w:t xml:space="preserve">, A.Y.; </w:t>
            </w:r>
            <w:proofErr w:type="spellStart"/>
            <w:r>
              <w:rPr>
                <w:i/>
                <w:iCs/>
                <w:lang w:val="en-US"/>
              </w:rPr>
              <w:t>Svirko</w:t>
            </w:r>
            <w:proofErr w:type="spellEnd"/>
            <w:r>
              <w:rPr>
                <w:i/>
                <w:iCs/>
                <w:lang w:val="en-US"/>
              </w:rPr>
              <w:t xml:space="preserve">, Y.S.; </w:t>
            </w:r>
            <w:proofErr w:type="spellStart"/>
            <w:r>
              <w:rPr>
                <w:i/>
                <w:iCs/>
                <w:lang w:val="en-US"/>
              </w:rPr>
              <w:t>Gusakova</w:t>
            </w:r>
            <w:proofErr w:type="spellEnd"/>
            <w:r>
              <w:rPr>
                <w:i/>
                <w:iCs/>
                <w:lang w:val="en-US"/>
              </w:rPr>
              <w:t xml:space="preserve">, A.M.; </w:t>
            </w:r>
            <w:proofErr w:type="spellStart"/>
            <w:r>
              <w:rPr>
                <w:i/>
                <w:iCs/>
                <w:lang w:val="en-US"/>
              </w:rPr>
              <w:t>Shipulin</w:t>
            </w:r>
            <w:proofErr w:type="spellEnd"/>
            <w:r>
              <w:rPr>
                <w:i/>
                <w:iCs/>
                <w:lang w:val="en-US"/>
              </w:rPr>
              <w:t xml:space="preserve">, V.M.; </w:t>
            </w:r>
            <w:proofErr w:type="spellStart"/>
            <w:r>
              <w:rPr>
                <w:i/>
                <w:iCs/>
                <w:lang w:val="en-US"/>
              </w:rPr>
              <w:t>Yavorovskiy</w:t>
            </w:r>
            <w:proofErr w:type="spellEnd"/>
            <w:r>
              <w:rPr>
                <w:i/>
                <w:iCs/>
                <w:lang w:val="en-US"/>
              </w:rPr>
              <w:t xml:space="preserve">, A.G. </w:t>
            </w:r>
            <w:r>
              <w:rPr>
                <w:b/>
                <w:bCs/>
                <w:i/>
                <w:iCs/>
                <w:lang w:val="en-US"/>
              </w:rPr>
              <w:t xml:space="preserve">International Journal of Molecular Sciences </w:t>
            </w:r>
            <w:r w:rsidRPr="00C00E7C">
              <w:rPr>
                <w:i/>
                <w:iCs/>
                <w:lang w:val="en-US"/>
              </w:rPr>
              <w:t>2020 Jul 27;21(15</w:t>
            </w:r>
            <w:proofErr w:type="gramStart"/>
            <w:r w:rsidRPr="00C00E7C">
              <w:rPr>
                <w:i/>
                <w:iCs/>
                <w:lang w:val="en-US"/>
              </w:rPr>
              <w:t>):E</w:t>
            </w:r>
            <w:proofErr w:type="gramEnd"/>
            <w:r w:rsidRPr="00C00E7C">
              <w:rPr>
                <w:i/>
                <w:iCs/>
                <w:lang w:val="en-US"/>
              </w:rPr>
              <w:t xml:space="preserve">5336. </w:t>
            </w:r>
            <w:proofErr w:type="spellStart"/>
            <w:r w:rsidRPr="00C00E7C">
              <w:rPr>
                <w:i/>
                <w:iCs/>
                <w:lang w:val="en-US"/>
              </w:rPr>
              <w:t>doi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: 10.3390/ ijms21155336. </w:t>
            </w:r>
            <w:r>
              <w:rPr>
                <w:i/>
                <w:iCs/>
              </w:rPr>
              <w:t xml:space="preserve">PMID: 32727110 </w:t>
            </w:r>
          </w:p>
          <w:p w:rsidR="00E9607F" w:rsidRDefault="00000000">
            <w:pPr>
              <w:numPr>
                <w:ilvl w:val="0"/>
                <w:numId w:val="5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Nitric oxide provides myocardial protection when added to the cardiopulmonary bypass circuit during cardiac surgery: Randomized trial / </w:t>
            </w:r>
            <w:proofErr w:type="spellStart"/>
            <w:r>
              <w:rPr>
                <w:i/>
                <w:iCs/>
                <w:lang w:val="en-US"/>
              </w:rPr>
              <w:t>Kamenshchikov</w:t>
            </w:r>
            <w:proofErr w:type="spellEnd"/>
            <w:r>
              <w:rPr>
                <w:i/>
                <w:iCs/>
                <w:lang w:val="en-US"/>
              </w:rPr>
              <w:t xml:space="preserve"> N.O., Mandel I.A., </w:t>
            </w:r>
            <w:proofErr w:type="spellStart"/>
            <w:r>
              <w:rPr>
                <w:i/>
                <w:iCs/>
                <w:lang w:val="en-US"/>
              </w:rPr>
              <w:t>Podoksenov</w:t>
            </w:r>
            <w:proofErr w:type="spellEnd"/>
            <w:r>
              <w:rPr>
                <w:i/>
                <w:iCs/>
                <w:lang w:val="en-US"/>
              </w:rPr>
              <w:t xml:space="preserve"> Y.K., </w:t>
            </w:r>
            <w:proofErr w:type="spellStart"/>
            <w:r>
              <w:rPr>
                <w:i/>
                <w:iCs/>
                <w:lang w:val="en-US"/>
              </w:rPr>
              <w:t>Svirko</w:t>
            </w:r>
            <w:proofErr w:type="spellEnd"/>
            <w:r>
              <w:rPr>
                <w:i/>
                <w:iCs/>
                <w:lang w:val="en-US"/>
              </w:rPr>
              <w:t xml:space="preserve"> Y.S., </w:t>
            </w:r>
            <w:proofErr w:type="spellStart"/>
            <w:r>
              <w:rPr>
                <w:i/>
                <w:iCs/>
                <w:lang w:val="en-US"/>
              </w:rPr>
              <w:t>Lomivorotov</w:t>
            </w:r>
            <w:proofErr w:type="spellEnd"/>
            <w:r>
              <w:rPr>
                <w:i/>
                <w:iCs/>
                <w:lang w:val="en-US"/>
              </w:rPr>
              <w:t xml:space="preserve"> V.V., </w:t>
            </w:r>
            <w:proofErr w:type="spellStart"/>
            <w:r>
              <w:rPr>
                <w:i/>
                <w:iCs/>
                <w:lang w:val="en-US"/>
              </w:rPr>
              <w:t>Mikheev</w:t>
            </w:r>
            <w:proofErr w:type="spellEnd"/>
            <w:r>
              <w:rPr>
                <w:i/>
                <w:iCs/>
                <w:lang w:val="en-US"/>
              </w:rPr>
              <w:t xml:space="preserve"> S.L., Kozlov B.N., </w:t>
            </w:r>
            <w:proofErr w:type="spellStart"/>
            <w:r>
              <w:rPr>
                <w:i/>
                <w:iCs/>
                <w:lang w:val="en-US"/>
              </w:rPr>
              <w:t>Shipulin</w:t>
            </w:r>
            <w:proofErr w:type="spellEnd"/>
            <w:r>
              <w:rPr>
                <w:i/>
                <w:iCs/>
                <w:lang w:val="en-US"/>
              </w:rPr>
              <w:t xml:space="preserve"> V.M., </w:t>
            </w:r>
            <w:proofErr w:type="spellStart"/>
            <w:r>
              <w:rPr>
                <w:i/>
                <w:iCs/>
                <w:lang w:val="en-US"/>
              </w:rPr>
              <w:t>Nenakhova</w:t>
            </w:r>
            <w:proofErr w:type="spellEnd"/>
            <w:r>
              <w:rPr>
                <w:i/>
                <w:iCs/>
                <w:lang w:val="en-US"/>
              </w:rPr>
              <w:t xml:space="preserve"> A.A., </w:t>
            </w:r>
            <w:proofErr w:type="spellStart"/>
            <w:r>
              <w:rPr>
                <w:i/>
                <w:iCs/>
                <w:lang w:val="en-US"/>
              </w:rPr>
              <w:t>Anfinogenova</w:t>
            </w:r>
            <w:proofErr w:type="spellEnd"/>
            <w:r>
              <w:rPr>
                <w:i/>
                <w:iCs/>
                <w:lang w:val="en-US"/>
              </w:rPr>
              <w:t xml:space="preserve"> Y.J. // </w:t>
            </w:r>
            <w:r>
              <w:rPr>
                <w:b/>
                <w:bCs/>
                <w:i/>
                <w:iCs/>
                <w:lang w:val="en-US"/>
              </w:rPr>
              <w:t xml:space="preserve">Journal of Thoracic and Cardiovascular Surgery </w:t>
            </w:r>
            <w:r w:rsidRPr="00C00E7C">
              <w:rPr>
                <w:i/>
                <w:iCs/>
                <w:lang w:val="en-US"/>
              </w:rPr>
              <w:t xml:space="preserve">2019; 157: 2328–2336. </w:t>
            </w:r>
            <w:r>
              <w:rPr>
                <w:i/>
                <w:iCs/>
              </w:rPr>
              <w:t xml:space="preserve">DOI: </w:t>
            </w:r>
            <w:hyperlink r:id="rId8" w:history="1">
              <w:r>
                <w:rPr>
                  <w:rStyle w:val="Hyperlink0"/>
                  <w:i/>
                  <w:iCs/>
                </w:rPr>
                <w:t>https://doi.org/10.1016/j.jtcvs.2018.08.117</w:t>
              </w:r>
            </w:hyperlink>
            <w:r>
              <w:rPr>
                <w:i/>
                <w:iCs/>
              </w:rPr>
              <w:t xml:space="preserve"> </w:t>
            </w:r>
          </w:p>
          <w:p w:rsidR="00E9607F" w:rsidRDefault="00000000">
            <w:pPr>
              <w:numPr>
                <w:ilvl w:val="0"/>
                <w:numId w:val="5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Endothelial Function and Hypoxic</w:t>
            </w:r>
            <w:r w:rsidRPr="00C00E7C">
              <w:rPr>
                <w:i/>
                <w:iCs/>
                <w:lang w:val="en-US"/>
              </w:rPr>
              <w:t>–</w:t>
            </w:r>
            <w:proofErr w:type="spellStart"/>
            <w:r>
              <w:rPr>
                <w:i/>
                <w:iCs/>
                <w:lang w:val="en-US"/>
              </w:rPr>
              <w:t>Hyperoxic</w:t>
            </w:r>
            <w:proofErr w:type="spellEnd"/>
            <w:r>
              <w:rPr>
                <w:i/>
                <w:iCs/>
                <w:lang w:val="en-US"/>
              </w:rPr>
              <w:t xml:space="preserve"> Preconditioning in Coronary Surgery with a Cardiopulmonary Bypass: Randomized Clinical Trial.</w:t>
            </w:r>
            <w:r w:rsidRPr="00C00E7C">
              <w:rPr>
                <w:i/>
                <w:iCs/>
                <w:lang w:val="en-US"/>
              </w:rPr>
              <w:t xml:space="preserve"> Mandel, I.A.; </w:t>
            </w:r>
            <w:proofErr w:type="spellStart"/>
            <w:r w:rsidRPr="00C00E7C">
              <w:rPr>
                <w:i/>
                <w:iCs/>
                <w:lang w:val="en-US"/>
              </w:rPr>
              <w:t>Podoksenov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Y.K.; </w:t>
            </w:r>
            <w:proofErr w:type="spellStart"/>
            <w:r w:rsidRPr="00C00E7C">
              <w:rPr>
                <w:i/>
                <w:iCs/>
                <w:lang w:val="en-US"/>
              </w:rPr>
              <w:t>Mikheev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S.L.; </w:t>
            </w:r>
            <w:proofErr w:type="spellStart"/>
            <w:r w:rsidRPr="00C00E7C">
              <w:rPr>
                <w:i/>
                <w:iCs/>
                <w:lang w:val="en-US"/>
              </w:rPr>
              <w:t>Suhodolo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I.V.; </w:t>
            </w:r>
            <w:proofErr w:type="spellStart"/>
            <w:r w:rsidRPr="00C00E7C">
              <w:rPr>
                <w:i/>
                <w:iCs/>
                <w:lang w:val="en-US"/>
              </w:rPr>
              <w:t>Svirko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Y.S.; </w:t>
            </w:r>
            <w:proofErr w:type="spellStart"/>
            <w:r w:rsidRPr="00C00E7C">
              <w:rPr>
                <w:i/>
                <w:iCs/>
                <w:lang w:val="en-US"/>
              </w:rPr>
              <w:t>Shipulin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V.M.; Ivanova, A.V.; </w:t>
            </w:r>
            <w:proofErr w:type="spellStart"/>
            <w:r w:rsidRPr="00C00E7C">
              <w:rPr>
                <w:i/>
                <w:iCs/>
                <w:lang w:val="en-US"/>
              </w:rPr>
              <w:t>Yavorovskiy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A.G.; </w:t>
            </w:r>
            <w:proofErr w:type="spellStart"/>
            <w:r w:rsidRPr="00C00E7C">
              <w:rPr>
                <w:i/>
                <w:iCs/>
                <w:lang w:val="en-US"/>
              </w:rPr>
              <w:t>Yaroshetskiy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A.I. // </w:t>
            </w:r>
            <w:proofErr w:type="spellStart"/>
            <w:r>
              <w:rPr>
                <w:b/>
                <w:bCs/>
                <w:i/>
                <w:iCs/>
                <w:lang w:val="it-IT"/>
              </w:rPr>
              <w:t>Biomedicines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 2023, 11(4):1044. </w:t>
            </w:r>
            <w:hyperlink r:id="rId9" w:history="1">
              <w:r>
                <w:rPr>
                  <w:rStyle w:val="Hyperlink1"/>
                  <w:i/>
                  <w:iCs/>
                  <w:lang w:val="en-US"/>
                </w:rPr>
                <w:t>https://doi.org/10.3390/biomedicines11041044</w:t>
              </w:r>
            </w:hyperlink>
          </w:p>
          <w:p w:rsidR="00E9607F" w:rsidRDefault="00000000">
            <w:pPr>
              <w:numPr>
                <w:ilvl w:val="0"/>
                <w:numId w:val="5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Low Circulating Vitamin D in Intensive Care Unit-Admitted COVID-19 Patients as a Predictor of Negative Outcomes. </w:t>
            </w:r>
            <w:proofErr w:type="spellStart"/>
            <w:r>
              <w:rPr>
                <w:i/>
                <w:iCs/>
                <w:lang w:val="en-US"/>
              </w:rPr>
              <w:t>Bychinin</w:t>
            </w:r>
            <w:proofErr w:type="spellEnd"/>
            <w:r>
              <w:rPr>
                <w:i/>
                <w:iCs/>
                <w:lang w:val="en-US"/>
              </w:rPr>
              <w:t xml:space="preserve"> MV, </w:t>
            </w:r>
            <w:proofErr w:type="spellStart"/>
            <w:r>
              <w:rPr>
                <w:i/>
                <w:iCs/>
                <w:lang w:val="en-US"/>
              </w:rPr>
              <w:t>Klypa</w:t>
            </w:r>
            <w:proofErr w:type="spellEnd"/>
            <w:r>
              <w:rPr>
                <w:i/>
                <w:iCs/>
                <w:lang w:val="en-US"/>
              </w:rPr>
              <w:t xml:space="preserve"> TV, Mandel IA, </w:t>
            </w:r>
            <w:proofErr w:type="spellStart"/>
            <w:r>
              <w:rPr>
                <w:i/>
                <w:iCs/>
                <w:lang w:val="en-US"/>
              </w:rPr>
              <w:t>Andreichenko</w:t>
            </w:r>
            <w:proofErr w:type="spellEnd"/>
            <w:r>
              <w:rPr>
                <w:i/>
                <w:iCs/>
                <w:lang w:val="en-US"/>
              </w:rPr>
              <w:t xml:space="preserve"> SA, </w:t>
            </w:r>
            <w:proofErr w:type="spellStart"/>
            <w:r>
              <w:rPr>
                <w:i/>
                <w:iCs/>
                <w:lang w:val="en-US"/>
              </w:rPr>
              <w:t>Baklaushev</w:t>
            </w:r>
            <w:proofErr w:type="spellEnd"/>
            <w:r>
              <w:rPr>
                <w:i/>
                <w:iCs/>
                <w:lang w:val="en-US"/>
              </w:rPr>
              <w:t xml:space="preserve"> VP, </w:t>
            </w:r>
            <w:proofErr w:type="spellStart"/>
            <w:r>
              <w:rPr>
                <w:i/>
                <w:iCs/>
                <w:lang w:val="en-US"/>
              </w:rPr>
              <w:t>Yusubalieva</w:t>
            </w:r>
            <w:proofErr w:type="spellEnd"/>
            <w:r>
              <w:rPr>
                <w:i/>
                <w:iCs/>
                <w:lang w:val="en-US"/>
              </w:rPr>
              <w:t xml:space="preserve"> GM, </w:t>
            </w:r>
            <w:proofErr w:type="spellStart"/>
            <w:r>
              <w:rPr>
                <w:i/>
                <w:iCs/>
                <w:lang w:val="en-US"/>
              </w:rPr>
              <w:t>Kolyshkina</w:t>
            </w:r>
            <w:proofErr w:type="spellEnd"/>
            <w:r>
              <w:rPr>
                <w:i/>
                <w:iCs/>
                <w:lang w:val="en-US"/>
              </w:rPr>
              <w:t xml:space="preserve"> NA, </w:t>
            </w:r>
            <w:proofErr w:type="spellStart"/>
            <w:r>
              <w:rPr>
                <w:i/>
                <w:iCs/>
                <w:lang w:val="en-US"/>
              </w:rPr>
              <w:t>Troitsky</w:t>
            </w:r>
            <w:proofErr w:type="spellEnd"/>
            <w:r>
              <w:rPr>
                <w:i/>
                <w:iCs/>
                <w:lang w:val="en-US"/>
              </w:rPr>
              <w:t xml:space="preserve"> AV. </w:t>
            </w:r>
            <w:r>
              <w:rPr>
                <w:b/>
                <w:bCs/>
                <w:i/>
                <w:iCs/>
                <w:lang w:val="en-US"/>
              </w:rPr>
              <w:t xml:space="preserve">Journal of Nutrition </w:t>
            </w:r>
            <w:r w:rsidRPr="00C00E7C">
              <w:rPr>
                <w:i/>
                <w:iCs/>
                <w:lang w:val="en-US"/>
              </w:rPr>
              <w:t xml:space="preserve">2021 Aug 7;151(8):2199-2205. </w:t>
            </w:r>
            <w:proofErr w:type="spellStart"/>
            <w:r w:rsidRPr="00C00E7C">
              <w:rPr>
                <w:i/>
                <w:iCs/>
                <w:lang w:val="en-US"/>
              </w:rPr>
              <w:t>doi</w:t>
            </w:r>
            <w:proofErr w:type="spellEnd"/>
            <w:r w:rsidRPr="00C00E7C">
              <w:rPr>
                <w:i/>
                <w:iCs/>
                <w:lang w:val="en-US"/>
              </w:rPr>
              <w:t>: 10.1093/</w:t>
            </w:r>
            <w:proofErr w:type="spellStart"/>
            <w:r w:rsidRPr="00C00E7C">
              <w:rPr>
                <w:i/>
                <w:iCs/>
                <w:lang w:val="en-US"/>
              </w:rPr>
              <w:t>jn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/ nxab107. PMID: 33982128; PMCID: PMC8194597. </w:t>
            </w:r>
          </w:p>
          <w:p w:rsidR="00E9607F" w:rsidRDefault="00000000">
            <w:pPr>
              <w:numPr>
                <w:ilvl w:val="0"/>
                <w:numId w:val="5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Potential for the lung recruitment and the risk of lung overdistension during 21 days of mechanical ventilation in patients with COVID-19 after noninvasive ventilation failure: the</w:t>
            </w:r>
            <w:r w:rsidRPr="00C00E7C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nl-NL"/>
              </w:rPr>
              <w:t xml:space="preserve">COVID-VENT </w:t>
            </w:r>
            <w:proofErr w:type="spellStart"/>
            <w:r>
              <w:rPr>
                <w:i/>
                <w:iCs/>
                <w:lang w:val="nl-NL"/>
              </w:rPr>
              <w:t>observational</w:t>
            </w:r>
            <w:proofErr w:type="spellEnd"/>
            <w:r>
              <w:rPr>
                <w:i/>
                <w:iCs/>
                <w:lang w:val="nl-NL"/>
              </w:rPr>
              <w:t xml:space="preserve"> trial / </w:t>
            </w:r>
            <w:proofErr w:type="spellStart"/>
            <w:r>
              <w:rPr>
                <w:i/>
                <w:iCs/>
                <w:lang w:val="nl-NL"/>
              </w:rPr>
              <w:t>Andrey</w:t>
            </w:r>
            <w:proofErr w:type="spellEnd"/>
            <w:r>
              <w:rPr>
                <w:i/>
                <w:iCs/>
                <w:lang w:val="nl-NL"/>
              </w:rPr>
              <w:t xml:space="preserve"> I. </w:t>
            </w:r>
            <w:proofErr w:type="spellStart"/>
            <w:r>
              <w:rPr>
                <w:i/>
                <w:iCs/>
                <w:lang w:val="nl-NL"/>
              </w:rPr>
              <w:t>Yaroshetskiy</w:t>
            </w:r>
            <w:proofErr w:type="spellEnd"/>
            <w:r>
              <w:rPr>
                <w:i/>
                <w:iCs/>
                <w:lang w:val="nl-NL"/>
              </w:rPr>
              <w:t xml:space="preserve">, </w:t>
            </w:r>
            <w:proofErr w:type="spellStart"/>
            <w:r>
              <w:rPr>
                <w:i/>
                <w:iCs/>
                <w:lang w:val="nl-NL"/>
              </w:rPr>
              <w:t>Sergey</w:t>
            </w:r>
            <w:proofErr w:type="spellEnd"/>
            <w:r>
              <w:rPr>
                <w:i/>
                <w:iCs/>
                <w:lang w:val="nl-NL"/>
              </w:rPr>
              <w:t xml:space="preserve"> N. </w:t>
            </w:r>
            <w:proofErr w:type="spellStart"/>
            <w:r>
              <w:rPr>
                <w:i/>
                <w:iCs/>
                <w:lang w:val="nl-NL"/>
              </w:rPr>
              <w:t>Avdeev</w:t>
            </w:r>
            <w:proofErr w:type="spellEnd"/>
            <w:r>
              <w:rPr>
                <w:i/>
                <w:iCs/>
                <w:lang w:val="nl-NL"/>
              </w:rPr>
              <w:t xml:space="preserve">, </w:t>
            </w:r>
            <w:proofErr w:type="spellStart"/>
            <w:r>
              <w:rPr>
                <w:i/>
                <w:iCs/>
                <w:lang w:val="nl-NL"/>
              </w:rPr>
              <w:t>Mikhail</w:t>
            </w:r>
            <w:proofErr w:type="spellEnd"/>
            <w:r>
              <w:rPr>
                <w:i/>
                <w:iCs/>
                <w:lang w:val="nl-NL"/>
              </w:rPr>
              <w:t xml:space="preserve"> E. </w:t>
            </w:r>
            <w:proofErr w:type="spellStart"/>
            <w:r>
              <w:rPr>
                <w:i/>
                <w:iCs/>
                <w:lang w:val="nl-NL"/>
              </w:rPr>
              <w:t>Politov</w:t>
            </w:r>
            <w:proofErr w:type="spellEnd"/>
            <w:r>
              <w:rPr>
                <w:i/>
                <w:iCs/>
                <w:lang w:val="nl-NL"/>
              </w:rPr>
              <w:t xml:space="preserve">, Pavel V. </w:t>
            </w:r>
            <w:proofErr w:type="spellStart"/>
            <w:r>
              <w:rPr>
                <w:i/>
                <w:iCs/>
                <w:lang w:val="nl-NL"/>
              </w:rPr>
              <w:t>Nogtev</w:t>
            </w:r>
            <w:proofErr w:type="spellEnd"/>
            <w:r>
              <w:rPr>
                <w:i/>
                <w:iCs/>
                <w:lang w:val="nl-NL"/>
              </w:rPr>
              <w:t xml:space="preserve">, Victoria G. </w:t>
            </w:r>
            <w:proofErr w:type="spellStart"/>
            <w:r>
              <w:rPr>
                <w:i/>
                <w:iCs/>
                <w:lang w:val="nl-NL"/>
              </w:rPr>
              <w:t>Beresneva</w:t>
            </w:r>
            <w:proofErr w:type="spellEnd"/>
            <w:r>
              <w:rPr>
                <w:i/>
                <w:iCs/>
                <w:lang w:val="nl-NL"/>
              </w:rPr>
              <w:t xml:space="preserve">, </w:t>
            </w:r>
            <w:proofErr w:type="spellStart"/>
            <w:r>
              <w:rPr>
                <w:i/>
                <w:iCs/>
                <w:lang w:val="nl-NL"/>
              </w:rPr>
              <w:t>Yury</w:t>
            </w:r>
            <w:proofErr w:type="spellEnd"/>
            <w:r>
              <w:rPr>
                <w:i/>
                <w:iCs/>
                <w:lang w:val="nl-NL"/>
              </w:rPr>
              <w:t xml:space="preserve"> D. </w:t>
            </w:r>
            <w:proofErr w:type="spellStart"/>
            <w:r>
              <w:rPr>
                <w:i/>
                <w:iCs/>
                <w:lang w:val="nl-NL"/>
              </w:rPr>
              <w:t>Sorokin</w:t>
            </w:r>
            <w:proofErr w:type="spellEnd"/>
            <w:r>
              <w:rPr>
                <w:i/>
                <w:iCs/>
                <w:lang w:val="nl-NL"/>
              </w:rPr>
              <w:t xml:space="preserve">, </w:t>
            </w:r>
            <w:proofErr w:type="spellStart"/>
            <w:r>
              <w:rPr>
                <w:i/>
                <w:iCs/>
                <w:lang w:val="nl-NL"/>
              </w:rPr>
              <w:t>Vasily</w:t>
            </w:r>
            <w:proofErr w:type="spellEnd"/>
            <w:r>
              <w:rPr>
                <w:i/>
                <w:iCs/>
                <w:lang w:val="nl-NL"/>
              </w:rPr>
              <w:t xml:space="preserve"> D. </w:t>
            </w:r>
            <w:proofErr w:type="spellStart"/>
            <w:r>
              <w:rPr>
                <w:i/>
                <w:iCs/>
                <w:lang w:val="nl-NL"/>
              </w:rPr>
              <w:t>Konanykhin</w:t>
            </w:r>
            <w:proofErr w:type="spellEnd"/>
            <w:r>
              <w:rPr>
                <w:i/>
                <w:iCs/>
                <w:lang w:val="nl-NL"/>
              </w:rPr>
              <w:t xml:space="preserve">, Anna P. </w:t>
            </w:r>
            <w:proofErr w:type="spellStart"/>
            <w:r>
              <w:rPr>
                <w:i/>
                <w:iCs/>
                <w:lang w:val="nl-NL"/>
              </w:rPr>
              <w:t>Krasnoshchekova</w:t>
            </w:r>
            <w:proofErr w:type="spellEnd"/>
            <w:r>
              <w:rPr>
                <w:i/>
                <w:iCs/>
                <w:lang w:val="nl-NL"/>
              </w:rPr>
              <w:t xml:space="preserve">, </w:t>
            </w:r>
            <w:proofErr w:type="spellStart"/>
            <w:r>
              <w:rPr>
                <w:i/>
                <w:iCs/>
                <w:lang w:val="nl-NL"/>
              </w:rPr>
              <w:t>Zamira</w:t>
            </w:r>
            <w:proofErr w:type="spellEnd"/>
            <w:r>
              <w:rPr>
                <w:i/>
                <w:iCs/>
                <w:lang w:val="nl-NL"/>
              </w:rPr>
              <w:t xml:space="preserve"> M. </w:t>
            </w:r>
            <w:proofErr w:type="spellStart"/>
            <w:r>
              <w:rPr>
                <w:i/>
                <w:iCs/>
                <w:lang w:val="nl-NL"/>
              </w:rPr>
              <w:t>Merzhoeva</w:t>
            </w:r>
            <w:proofErr w:type="spellEnd"/>
            <w:r>
              <w:rPr>
                <w:i/>
                <w:iCs/>
                <w:lang w:val="nl-NL"/>
              </w:rPr>
              <w:t xml:space="preserve">, Natalia A. </w:t>
            </w:r>
            <w:proofErr w:type="spellStart"/>
            <w:r>
              <w:rPr>
                <w:i/>
                <w:iCs/>
                <w:lang w:val="nl-NL"/>
              </w:rPr>
              <w:t>Tsareva</w:t>
            </w:r>
            <w:proofErr w:type="spellEnd"/>
            <w:r>
              <w:rPr>
                <w:i/>
                <w:iCs/>
                <w:lang w:val="nl-NL"/>
              </w:rPr>
              <w:t xml:space="preserve">, Natalia V. </w:t>
            </w:r>
            <w:proofErr w:type="spellStart"/>
            <w:r>
              <w:rPr>
                <w:i/>
                <w:iCs/>
                <w:lang w:val="nl-NL"/>
              </w:rPr>
              <w:t>Trushenko</w:t>
            </w:r>
            <w:proofErr w:type="spellEnd"/>
            <w:r>
              <w:rPr>
                <w:i/>
                <w:iCs/>
                <w:lang w:val="nl-NL"/>
              </w:rPr>
              <w:t xml:space="preserve">, Irina A. Mandel </w:t>
            </w:r>
            <w:proofErr w:type="spellStart"/>
            <w:r>
              <w:rPr>
                <w:i/>
                <w:iCs/>
                <w:lang w:val="nl-NL"/>
              </w:rPr>
              <w:t>and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proofErr w:type="spellStart"/>
            <w:r>
              <w:rPr>
                <w:i/>
                <w:iCs/>
                <w:lang w:val="nl-NL"/>
              </w:rPr>
              <w:t>Andrey</w:t>
            </w:r>
            <w:proofErr w:type="spellEnd"/>
            <w:r>
              <w:rPr>
                <w:i/>
                <w:iCs/>
                <w:lang w:val="nl-NL"/>
              </w:rPr>
              <w:t xml:space="preserve"> G. </w:t>
            </w:r>
            <w:proofErr w:type="spellStart"/>
            <w:r>
              <w:rPr>
                <w:i/>
                <w:iCs/>
                <w:lang w:val="nl-NL"/>
              </w:rPr>
              <w:t>Yavorovskiy</w:t>
            </w:r>
            <w:proofErr w:type="spellEnd"/>
            <w:r>
              <w:rPr>
                <w:i/>
                <w:iCs/>
                <w:lang w:val="nl-NL"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 xml:space="preserve">BMC Anesthesiology </w:t>
            </w:r>
            <w:r w:rsidRPr="00C00E7C">
              <w:rPr>
                <w:i/>
                <w:iCs/>
                <w:lang w:val="en-US"/>
              </w:rPr>
              <w:t xml:space="preserve">(2022) 22:59 </w:t>
            </w:r>
            <w:hyperlink r:id="rId10" w:history="1">
              <w:r>
                <w:rPr>
                  <w:rStyle w:val="Hyperlink0"/>
                  <w:i/>
                  <w:iCs/>
                  <w:lang w:val="en-US"/>
                </w:rPr>
                <w:t>https://doi.org/10.1186/s12871-022-01600-0</w:t>
              </w:r>
            </w:hyperlink>
            <w:r w:rsidRPr="00C00E7C">
              <w:rPr>
                <w:i/>
                <w:iCs/>
                <w:lang w:val="en-US"/>
              </w:rPr>
              <w:t xml:space="preserve"> </w:t>
            </w:r>
          </w:p>
          <w:p w:rsidR="00E9607F" w:rsidRDefault="00000000">
            <w:pPr>
              <w:numPr>
                <w:ilvl w:val="0"/>
                <w:numId w:val="5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Effect of vitamin D3 supplementation on cellular immunity and inflammatory markers in COVID-19 patients admitted to the ICU.</w:t>
            </w:r>
            <w:r w:rsidRPr="00C00E7C">
              <w:rPr>
                <w:i/>
                <w:iCs/>
                <w:lang w:val="en-US"/>
              </w:rPr>
              <w:t> </w:t>
            </w:r>
            <w:proofErr w:type="spellStart"/>
            <w:r w:rsidRPr="00C00E7C">
              <w:rPr>
                <w:i/>
                <w:iCs/>
                <w:lang w:val="en-US"/>
              </w:rPr>
              <w:t>Bychinin</w:t>
            </w:r>
            <w:proofErr w:type="spellEnd"/>
            <w:r w:rsidRPr="00C00E7C">
              <w:rPr>
                <w:i/>
                <w:iCs/>
                <w:lang w:val="en-US"/>
              </w:rPr>
              <w:t xml:space="preserve">, M.V., </w:t>
            </w:r>
            <w:proofErr w:type="spellStart"/>
            <w:r w:rsidRPr="00C00E7C">
              <w:rPr>
                <w:i/>
                <w:iCs/>
                <w:lang w:val="en-US"/>
              </w:rPr>
              <w:t>Klypa</w:t>
            </w:r>
            <w:proofErr w:type="spellEnd"/>
            <w:r w:rsidRPr="00C00E7C">
              <w:rPr>
                <w:i/>
                <w:iCs/>
                <w:lang w:val="en-US"/>
              </w:rPr>
              <w:t>, T.V., Mandel, I.A., </w:t>
            </w:r>
            <w:proofErr w:type="spellStart"/>
            <w:r>
              <w:rPr>
                <w:i/>
                <w:iCs/>
                <w:lang w:val="en-US"/>
              </w:rPr>
              <w:t>Yusubalieva</w:t>
            </w:r>
            <w:proofErr w:type="spellEnd"/>
            <w:r>
              <w:rPr>
                <w:i/>
                <w:iCs/>
                <w:lang w:val="en-US"/>
              </w:rPr>
              <w:t xml:space="preserve">, G. M., </w:t>
            </w:r>
            <w:proofErr w:type="spellStart"/>
            <w:r>
              <w:rPr>
                <w:i/>
                <w:iCs/>
                <w:lang w:val="en-US"/>
              </w:rPr>
              <w:t>Baklaushev</w:t>
            </w:r>
            <w:proofErr w:type="spellEnd"/>
            <w:r>
              <w:rPr>
                <w:i/>
                <w:iCs/>
                <w:lang w:val="en-US"/>
              </w:rPr>
              <w:t xml:space="preserve">, V.P., </w:t>
            </w:r>
            <w:proofErr w:type="spellStart"/>
            <w:r>
              <w:rPr>
                <w:i/>
                <w:iCs/>
                <w:lang w:val="en-US"/>
              </w:rPr>
              <w:t>Kolyshkina</w:t>
            </w:r>
            <w:proofErr w:type="spellEnd"/>
            <w:r>
              <w:rPr>
                <w:i/>
                <w:iCs/>
                <w:lang w:val="en-US"/>
              </w:rPr>
              <w:t xml:space="preserve">, N.A., </w:t>
            </w:r>
            <w:proofErr w:type="spellStart"/>
            <w:r>
              <w:rPr>
                <w:i/>
                <w:iCs/>
                <w:lang w:val="en-US"/>
              </w:rPr>
              <w:t>Troitsky</w:t>
            </w:r>
            <w:proofErr w:type="spellEnd"/>
            <w:r>
              <w:rPr>
                <w:i/>
                <w:iCs/>
                <w:lang w:val="en-US"/>
              </w:rPr>
              <w:t>, A.V. //</w:t>
            </w:r>
            <w:r w:rsidRPr="00C00E7C">
              <w:rPr>
                <w:b/>
                <w:bCs/>
                <w:i/>
                <w:iCs/>
                <w:lang w:val="en-US"/>
              </w:rPr>
              <w:t xml:space="preserve"> Sci Rep. </w:t>
            </w:r>
            <w:r w:rsidRPr="00C00E7C">
              <w:rPr>
                <w:i/>
                <w:iCs/>
                <w:lang w:val="en-US"/>
              </w:rPr>
              <w:t xml:space="preserve">2022 Nov 3;12(1):18604. </w:t>
            </w:r>
            <w:hyperlink r:id="rId11" w:history="1">
              <w:r>
                <w:rPr>
                  <w:rStyle w:val="Hyperlink0"/>
                  <w:i/>
                  <w:iCs/>
                  <w:lang w:val="en-US"/>
                </w:rPr>
                <w:t>https://doi.org/10.1038/s41598-022-22045-y</w:t>
              </w:r>
            </w:hyperlink>
          </w:p>
        </w:tc>
      </w:tr>
      <w:tr w:rsidR="00E9607F" w:rsidTr="00660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07F" w:rsidRDefault="00E9607F"/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07F" w:rsidRPr="00C00E7C" w:rsidRDefault="0000000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Results of intellectual activity </w:t>
            </w:r>
            <w:r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</w:rPr>
              <w:t>при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наличии</w:t>
            </w:r>
            <w:r>
              <w:rPr>
                <w:i/>
                <w:iCs/>
                <w:lang w:val="en-US"/>
              </w:rPr>
              <w:t>)</w:t>
            </w:r>
          </w:p>
          <w:p w:rsidR="00E9607F" w:rsidRDefault="00000000">
            <w:pPr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Influence of Hypoxic and </w:t>
            </w:r>
            <w:proofErr w:type="spellStart"/>
            <w:r>
              <w:rPr>
                <w:lang w:val="en-US"/>
              </w:rPr>
              <w:t>Hyperoxic</w:t>
            </w:r>
            <w:proofErr w:type="spellEnd"/>
            <w:r>
              <w:rPr>
                <w:lang w:val="en-US"/>
              </w:rPr>
              <w:t xml:space="preserve"> Preconditioning on Endothelial Function in a Model of Myocardial Ischemia Reperfusion Injury with Cardiopulmonary Bypass (Experimental Study). </w:t>
            </w:r>
          </w:p>
          <w:p w:rsidR="00E9607F" w:rsidRDefault="00000000">
            <w:pPr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Nitric oxide provides myocardial protection when added to the cardiopulmonary bypass circuit during cardiac surgery: Randomized trial </w:t>
            </w:r>
          </w:p>
          <w:p w:rsidR="00E9607F" w:rsidRDefault="00000000">
            <w:pPr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>
              <w:rPr>
                <w:lang w:val="en-US"/>
              </w:rPr>
              <w:t>Endothelial Function and Hypoxic</w:t>
            </w:r>
            <w:r w:rsidRPr="00C00E7C">
              <w:rPr>
                <w:lang w:val="en-US"/>
              </w:rPr>
              <w:t>–</w:t>
            </w:r>
            <w:proofErr w:type="spellStart"/>
            <w:r>
              <w:rPr>
                <w:lang w:val="en-US"/>
              </w:rPr>
              <w:t>Hyperoxic</w:t>
            </w:r>
            <w:proofErr w:type="spellEnd"/>
            <w:r>
              <w:rPr>
                <w:lang w:val="en-US"/>
              </w:rPr>
              <w:t xml:space="preserve"> Preconditioning in Coronary Surgery with a Cardiopulmonary Bypass: Randomized Clinical Trial.</w:t>
            </w:r>
            <w:r w:rsidRPr="00C00E7C">
              <w:rPr>
                <w:lang w:val="en-US"/>
              </w:rPr>
              <w:t xml:space="preserve"> </w:t>
            </w:r>
          </w:p>
          <w:p w:rsidR="00E9607F" w:rsidRDefault="00000000">
            <w:pPr>
              <w:numPr>
                <w:ilvl w:val="0"/>
                <w:numId w:val="7"/>
              </w:numPr>
              <w:spacing w:after="0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Effect of vitamin D3 supplementation on cellular immunity and inflammatory markers in COVID-19 patients admitted to the ICU.</w:t>
            </w:r>
            <w:r w:rsidRPr="00C00E7C">
              <w:rPr>
                <w:lang w:val="en-US"/>
              </w:rPr>
              <w:t> </w:t>
            </w:r>
            <w:r>
              <w:rPr>
                <w:lang w:val="en-US"/>
              </w:rPr>
              <w:t>Randomized Clinical Trial.</w:t>
            </w:r>
          </w:p>
        </w:tc>
      </w:tr>
    </w:tbl>
    <w:p w:rsidR="00E9607F" w:rsidRDefault="00E9607F">
      <w:pPr>
        <w:widowControl w:val="0"/>
        <w:spacing w:after="0"/>
        <w:jc w:val="left"/>
      </w:pPr>
    </w:p>
    <w:sectPr w:rsidR="00E9607F">
      <w:headerReference w:type="default" r:id="rId12"/>
      <w:footerReference w:type="default" r:id="rId13"/>
      <w:pgSz w:w="11900" w:h="16840"/>
      <w:pgMar w:top="851" w:right="845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0EB8" w:rsidRDefault="00CF0EB8">
      <w:pPr>
        <w:spacing w:after="0"/>
      </w:pPr>
      <w:r>
        <w:separator/>
      </w:r>
    </w:p>
  </w:endnote>
  <w:endnote w:type="continuationSeparator" w:id="0">
    <w:p w:rsidR="00CF0EB8" w:rsidRDefault="00CF0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07F" w:rsidRDefault="00000000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C00E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0EB8" w:rsidRDefault="00CF0EB8">
      <w:pPr>
        <w:spacing w:after="0"/>
      </w:pPr>
      <w:r>
        <w:separator/>
      </w:r>
    </w:p>
  </w:footnote>
  <w:footnote w:type="continuationSeparator" w:id="0">
    <w:p w:rsidR="00CF0EB8" w:rsidRDefault="00CF0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07F" w:rsidRDefault="00E960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183"/>
    <w:multiLevelType w:val="hybridMultilevel"/>
    <w:tmpl w:val="DE8C4292"/>
    <w:lvl w:ilvl="0" w:tplc="2A52F69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82AD0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0E0CE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8C13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30394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6B5E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693F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5CF8C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42D6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F425E7"/>
    <w:multiLevelType w:val="hybridMultilevel"/>
    <w:tmpl w:val="7C30B672"/>
    <w:lvl w:ilvl="0" w:tplc="B88438C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D0D2D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E229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149D4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CA61F8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9A2F9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283E8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DC492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DE8A3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150B41"/>
    <w:multiLevelType w:val="hybridMultilevel"/>
    <w:tmpl w:val="F0CC4B78"/>
    <w:lvl w:ilvl="0" w:tplc="B5ACF77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F81BE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69E06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A884E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CD33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0DA20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C6CB6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868F7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CE626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BB2B4F"/>
    <w:multiLevelType w:val="hybridMultilevel"/>
    <w:tmpl w:val="7E5AB18C"/>
    <w:lvl w:ilvl="0" w:tplc="E7F682AC">
      <w:start w:val="1"/>
      <w:numFmt w:val="decimal"/>
      <w:lvlText w:val="%1."/>
      <w:lvlJc w:val="left"/>
      <w:pPr>
        <w:ind w:left="2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A6AA4">
      <w:start w:val="1"/>
      <w:numFmt w:val="decimal"/>
      <w:lvlText w:val="%2."/>
      <w:lvlJc w:val="left"/>
      <w:pPr>
        <w:ind w:left="10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AA238">
      <w:start w:val="1"/>
      <w:numFmt w:val="decimal"/>
      <w:lvlText w:val="%3."/>
      <w:lvlJc w:val="left"/>
      <w:pPr>
        <w:ind w:left="18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F43648">
      <w:start w:val="1"/>
      <w:numFmt w:val="decimal"/>
      <w:lvlText w:val="%4."/>
      <w:lvlJc w:val="left"/>
      <w:pPr>
        <w:ind w:left="26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6869CA">
      <w:start w:val="1"/>
      <w:numFmt w:val="decimal"/>
      <w:lvlText w:val="%5."/>
      <w:lvlJc w:val="left"/>
      <w:pPr>
        <w:ind w:left="34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385F1A">
      <w:start w:val="1"/>
      <w:numFmt w:val="decimal"/>
      <w:lvlText w:val="%6."/>
      <w:lvlJc w:val="left"/>
      <w:pPr>
        <w:ind w:left="42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2B8AC">
      <w:start w:val="1"/>
      <w:numFmt w:val="decimal"/>
      <w:lvlText w:val="%7."/>
      <w:lvlJc w:val="left"/>
      <w:pPr>
        <w:ind w:left="50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B42C74">
      <w:start w:val="1"/>
      <w:numFmt w:val="decimal"/>
      <w:lvlText w:val="%8."/>
      <w:lvlJc w:val="left"/>
      <w:pPr>
        <w:ind w:left="58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8A47C">
      <w:start w:val="1"/>
      <w:numFmt w:val="decimal"/>
      <w:lvlText w:val="%9."/>
      <w:lvlJc w:val="left"/>
      <w:pPr>
        <w:ind w:left="66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7001CF0"/>
    <w:multiLevelType w:val="hybridMultilevel"/>
    <w:tmpl w:val="AD229B0C"/>
    <w:lvl w:ilvl="0" w:tplc="9F38B694">
      <w:start w:val="1"/>
      <w:numFmt w:val="decimal"/>
      <w:lvlText w:val="%1."/>
      <w:lvlJc w:val="left"/>
      <w:pPr>
        <w:ind w:left="2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A1A30">
      <w:start w:val="1"/>
      <w:numFmt w:val="decimal"/>
      <w:lvlText w:val="%2."/>
      <w:lvlJc w:val="left"/>
      <w:pPr>
        <w:ind w:left="10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CCDBC">
      <w:start w:val="1"/>
      <w:numFmt w:val="decimal"/>
      <w:lvlText w:val="%3."/>
      <w:lvlJc w:val="left"/>
      <w:pPr>
        <w:ind w:left="18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CCF238">
      <w:start w:val="1"/>
      <w:numFmt w:val="decimal"/>
      <w:lvlText w:val="%4."/>
      <w:lvlJc w:val="left"/>
      <w:pPr>
        <w:ind w:left="26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64E40E">
      <w:start w:val="1"/>
      <w:numFmt w:val="decimal"/>
      <w:lvlText w:val="%5."/>
      <w:lvlJc w:val="left"/>
      <w:pPr>
        <w:ind w:left="34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385BCC">
      <w:start w:val="1"/>
      <w:numFmt w:val="decimal"/>
      <w:lvlText w:val="%6."/>
      <w:lvlJc w:val="left"/>
      <w:pPr>
        <w:ind w:left="42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A08802">
      <w:start w:val="1"/>
      <w:numFmt w:val="decimal"/>
      <w:lvlText w:val="%7."/>
      <w:lvlJc w:val="left"/>
      <w:pPr>
        <w:ind w:left="50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5474B0">
      <w:start w:val="1"/>
      <w:numFmt w:val="decimal"/>
      <w:lvlText w:val="%8."/>
      <w:lvlJc w:val="left"/>
      <w:pPr>
        <w:ind w:left="58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47FE8">
      <w:start w:val="1"/>
      <w:numFmt w:val="decimal"/>
      <w:lvlText w:val="%9."/>
      <w:lvlJc w:val="left"/>
      <w:pPr>
        <w:ind w:left="6653" w:hanging="25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21958716">
    <w:abstractNumId w:val="1"/>
  </w:num>
  <w:num w:numId="2" w16cid:durableId="731002587">
    <w:abstractNumId w:val="4"/>
  </w:num>
  <w:num w:numId="3" w16cid:durableId="697893111">
    <w:abstractNumId w:val="0"/>
  </w:num>
  <w:num w:numId="4" w16cid:durableId="686172442">
    <w:abstractNumId w:val="0"/>
    <w:lvlOverride w:ilvl="0">
      <w:lvl w:ilvl="0" w:tplc="2A52F69A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82AD0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80E0C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78C13A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303940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B6B5E6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C693FA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5CF8C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EC42D6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439911047">
    <w:abstractNumId w:val="3"/>
  </w:num>
  <w:num w:numId="6" w16cid:durableId="534083214">
    <w:abstractNumId w:val="2"/>
  </w:num>
  <w:num w:numId="7" w16cid:durableId="753285984">
    <w:abstractNumId w:val="2"/>
    <w:lvlOverride w:ilvl="0">
      <w:lvl w:ilvl="0" w:tplc="B5ACF77A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81BE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2D69E06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A884E8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FCD336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A0DA2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EC6CB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868F7A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4CE626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07F"/>
    <w:rsid w:val="00660423"/>
    <w:rsid w:val="00C00E7C"/>
    <w:rsid w:val="00CF0EB8"/>
    <w:rsid w:val="00E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0F193"/>
  <w15:docId w15:val="{28E2E354-F0CF-BB41-96D8-AB16C6E4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tcvs.2018.08.1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8/s41598-022-22045-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86/s12871-022-01600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biomedicines11041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 Morozova</cp:lastModifiedBy>
  <cp:revision>2</cp:revision>
  <dcterms:created xsi:type="dcterms:W3CDTF">2023-09-29T17:33:00Z</dcterms:created>
  <dcterms:modified xsi:type="dcterms:W3CDTF">2023-09-29T17:33:00Z</dcterms:modified>
</cp:coreProperties>
</file>