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3A" w:rsidRDefault="00911A3A" w:rsidP="00911A3A">
      <w:pPr>
        <w:tabs>
          <w:tab w:val="left" w:pos="6096"/>
        </w:tabs>
        <w:jc w:val="center"/>
        <w:outlineLvl w:val="0"/>
      </w:pPr>
      <w:r>
        <w:t>Министерство здравоохранения Российской Федерации</w:t>
      </w:r>
    </w:p>
    <w:p w:rsidR="00911A3A" w:rsidRDefault="00911A3A" w:rsidP="00911A3A">
      <w:pPr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911A3A" w:rsidRDefault="00911A3A" w:rsidP="00911A3A">
      <w:pPr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911A3A" w:rsidRDefault="00911A3A" w:rsidP="00911A3A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911A3A" w:rsidRDefault="00911A3A" w:rsidP="00911A3A">
      <w:pPr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911A3A" w:rsidRDefault="00911A3A" w:rsidP="00911A3A"/>
    <w:p w:rsidR="00911A3A" w:rsidRDefault="00911A3A" w:rsidP="00911A3A">
      <w:pPr>
        <w:widowControl w:val="0"/>
        <w:jc w:val="center"/>
        <w:rPr>
          <w:b/>
        </w:rPr>
      </w:pPr>
    </w:p>
    <w:p w:rsidR="00911A3A" w:rsidRDefault="00911A3A" w:rsidP="00911A3A">
      <w:pPr>
        <w:widowControl w:val="0"/>
        <w:tabs>
          <w:tab w:val="right" w:leader="underscore" w:pos="8505"/>
        </w:tabs>
        <w:jc w:val="center"/>
        <w:outlineLvl w:val="0"/>
        <w:rPr>
          <w:bCs/>
          <w:lang w:eastAsia="en-US"/>
        </w:rPr>
      </w:pPr>
      <w:r>
        <w:rPr>
          <w:bCs/>
        </w:rPr>
        <w:t xml:space="preserve">АННОТАЦИЯ ПРОГРАММЫ ДИСЦИПЛИНЫ </w:t>
      </w:r>
    </w:p>
    <w:p w:rsidR="00667700" w:rsidRPr="0046658D" w:rsidRDefault="00911A3A" w:rsidP="00ED3AC1">
      <w:pPr>
        <w:widowControl w:val="0"/>
        <w:spacing w:line="276" w:lineRule="auto"/>
        <w:jc w:val="center"/>
        <w:rPr>
          <w:bCs/>
          <w:u w:val="single"/>
        </w:rPr>
      </w:pPr>
      <w:bookmarkStart w:id="0" w:name="_GoBack"/>
      <w:r>
        <w:rPr>
          <w:bCs/>
          <w:u w:val="single"/>
        </w:rPr>
        <w:t>Когнитивные нарушения</w:t>
      </w:r>
    </w:p>
    <w:bookmarkEnd w:id="0"/>
    <w:p w:rsidR="00667700" w:rsidRPr="0046658D" w:rsidRDefault="00667700" w:rsidP="00ED3AC1">
      <w:pPr>
        <w:widowControl w:val="0"/>
        <w:spacing w:line="276" w:lineRule="auto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>(</w:t>
      </w:r>
      <w:r w:rsidRPr="004A24D9">
        <w:rPr>
          <w:bCs/>
          <w:i/>
          <w:sz w:val="16"/>
          <w:szCs w:val="16"/>
        </w:rPr>
        <w:t>наименование  дисциплины</w:t>
      </w:r>
      <w:r>
        <w:rPr>
          <w:bCs/>
          <w:sz w:val="16"/>
          <w:szCs w:val="16"/>
        </w:rPr>
        <w:t>)</w:t>
      </w:r>
    </w:p>
    <w:p w:rsidR="00667700" w:rsidRPr="0046658D" w:rsidRDefault="00667700" w:rsidP="00ED3AC1">
      <w:pPr>
        <w:widowControl w:val="0"/>
        <w:tabs>
          <w:tab w:val="right" w:leader="underscore" w:pos="8505"/>
        </w:tabs>
        <w:spacing w:line="276" w:lineRule="auto"/>
        <w:jc w:val="both"/>
        <w:rPr>
          <w:bCs/>
        </w:rPr>
      </w:pPr>
    </w:p>
    <w:p w:rsidR="00D060C3" w:rsidRDefault="00D060C3" w:rsidP="00ED3AC1">
      <w:pPr>
        <w:widowControl w:val="0"/>
        <w:spacing w:line="276" w:lineRule="auto"/>
        <w:jc w:val="both"/>
        <w:rPr>
          <w:bCs/>
        </w:rPr>
      </w:pPr>
      <w:r>
        <w:rPr>
          <w:bCs/>
        </w:rPr>
        <w:t xml:space="preserve">Направление подготовки (специальность)  </w:t>
      </w:r>
      <w:r w:rsidR="00911A3A">
        <w:rPr>
          <w:bCs/>
        </w:rPr>
        <w:t>31.05.01</w:t>
      </w:r>
      <w:r>
        <w:rPr>
          <w:bCs/>
        </w:rPr>
        <w:t xml:space="preserve"> «Лечебное дело»</w:t>
      </w:r>
    </w:p>
    <w:p w:rsidR="00D060C3" w:rsidRDefault="00D060C3" w:rsidP="00ED3AC1">
      <w:pPr>
        <w:widowControl w:val="0"/>
        <w:tabs>
          <w:tab w:val="right" w:leader="underscore" w:pos="9639"/>
        </w:tabs>
        <w:spacing w:line="276" w:lineRule="auto"/>
        <w:jc w:val="both"/>
        <w:rPr>
          <w:bCs/>
        </w:rPr>
      </w:pPr>
    </w:p>
    <w:p w:rsidR="00667700" w:rsidRDefault="00667700" w:rsidP="00ED3AC1">
      <w:pPr>
        <w:widowControl w:val="0"/>
        <w:tabs>
          <w:tab w:val="right" w:leader="underscore" w:pos="8505"/>
        </w:tabs>
        <w:spacing w:line="276" w:lineRule="auto"/>
        <w:jc w:val="both"/>
        <w:rPr>
          <w:bCs/>
        </w:rPr>
      </w:pPr>
      <w:r>
        <w:rPr>
          <w:bCs/>
        </w:rPr>
        <w:t>Трудоемкость дисциплины _________</w:t>
      </w:r>
      <w:r w:rsidR="00911A3A">
        <w:rPr>
          <w:bCs/>
        </w:rPr>
        <w:t>3</w:t>
      </w:r>
      <w:r>
        <w:rPr>
          <w:bCs/>
        </w:rPr>
        <w:t>_______________ зачетных единиц</w:t>
      </w:r>
    </w:p>
    <w:p w:rsidR="00667700" w:rsidRDefault="00667700" w:rsidP="00ED3AC1">
      <w:pPr>
        <w:widowControl w:val="0"/>
        <w:tabs>
          <w:tab w:val="right" w:leader="underscore" w:pos="8505"/>
        </w:tabs>
        <w:spacing w:line="276" w:lineRule="auto"/>
        <w:jc w:val="both"/>
        <w:rPr>
          <w:bCs/>
        </w:rPr>
      </w:pPr>
    </w:p>
    <w:p w:rsidR="00D060C3" w:rsidRDefault="00D060C3" w:rsidP="00ED3AC1">
      <w:pPr>
        <w:widowControl w:val="0"/>
        <w:shd w:val="clear" w:color="auto" w:fill="FFFFFF"/>
        <w:tabs>
          <w:tab w:val="left" w:pos="709"/>
        </w:tabs>
        <w:spacing w:line="276" w:lineRule="auto"/>
        <w:ind w:firstLine="709"/>
        <w:jc w:val="both"/>
      </w:pPr>
      <w:r>
        <w:rPr>
          <w:i/>
        </w:rPr>
        <w:t xml:space="preserve">Задачи </w:t>
      </w:r>
      <w:r>
        <w:t>дисциплины:</w:t>
      </w:r>
    </w:p>
    <w:p w:rsidR="00D060C3" w:rsidRDefault="00D060C3" w:rsidP="00ED3AC1">
      <w:pPr>
        <w:numPr>
          <w:ilvl w:val="0"/>
          <w:numId w:val="4"/>
        </w:numPr>
        <w:suppressAutoHyphens/>
        <w:spacing w:before="120" w:line="276" w:lineRule="auto"/>
        <w:jc w:val="both"/>
      </w:pPr>
      <w:r>
        <w:t>знать: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proofErr w:type="gramStart"/>
      <w:r>
        <w:t xml:space="preserve">показатели здоровья населения, факторы, формирующие здоровье человека (экологические, профессиональные, природно-климатические, эндемические, социальные, эпидемиологические, </w:t>
      </w:r>
      <w:proofErr w:type="spellStart"/>
      <w:r>
        <w:t>психо</w:t>
      </w:r>
      <w:proofErr w:type="spellEnd"/>
      <w:r>
        <w:t>-эмоциональные, профессиональные, генетические);</w:t>
      </w:r>
      <w:proofErr w:type="gramEnd"/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заболевания, связанные с неблагоприятным воздействием климатических и социальных факторов;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основы профилактической медицины, организацию профилактических мероприятий, направленных на укрепление здоровья населения;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этиологию, патогенез и меры профилактики наиболее часто встречающихся заболеваний; современную классификацию заболеваний;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методы диагностики, диагностические возможности методов непосредственного исследования больного неврологического и нейрохирургического профиля, современные методы клинического, лабораторного инструментального обследования больных (включая эндоскопические, рентгенологические методы, ультразвуковую диагностику);</w:t>
      </w:r>
    </w:p>
    <w:p w:rsidR="00D060C3" w:rsidRDefault="00D060C3" w:rsidP="00ED3AC1">
      <w:pPr>
        <w:numPr>
          <w:ilvl w:val="0"/>
          <w:numId w:val="5"/>
        </w:numPr>
        <w:suppressAutoHyphens/>
        <w:spacing w:before="120" w:line="276" w:lineRule="auto"/>
        <w:ind w:left="1321" w:hanging="357"/>
        <w:jc w:val="both"/>
      </w:pPr>
      <w:r>
        <w:t>методы лечения и показания к их применению;</w:t>
      </w:r>
    </w:p>
    <w:p w:rsidR="00D060C3" w:rsidRDefault="00D060C3" w:rsidP="00ED3AC1">
      <w:pPr>
        <w:numPr>
          <w:ilvl w:val="0"/>
          <w:numId w:val="4"/>
        </w:numPr>
        <w:suppressAutoHyphens/>
        <w:spacing w:before="120" w:line="276" w:lineRule="auto"/>
        <w:jc w:val="both"/>
      </w:pPr>
      <w:r>
        <w:t>уметь:</w:t>
      </w:r>
    </w:p>
    <w:p w:rsidR="00D060C3" w:rsidRDefault="00D060C3" w:rsidP="00ED3AC1">
      <w:pPr>
        <w:spacing w:before="120" w:line="276" w:lineRule="auto"/>
        <w:ind w:left="1080"/>
        <w:jc w:val="both"/>
      </w:pP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 xml:space="preserve">анализировать и оценивать состояние здоровья населения и влияние на него </w:t>
      </w:r>
      <w:r>
        <w:rPr>
          <w:b/>
        </w:rPr>
        <w:t>факторов окружающей и производственной среды;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 xml:space="preserve">определить статус пациента: собрать анамнез, провести опрос пациента и/или его родственников, провести </w:t>
      </w:r>
      <w:proofErr w:type="spellStart"/>
      <w:r>
        <w:t>физикальное</w:t>
      </w:r>
      <w:proofErr w:type="spellEnd"/>
      <w:r>
        <w:t xml:space="preserve"> обследование пациента (осмотр, пальпация, аускультация, измерение артериального давления, определение свойств артериального пульса и т.п.); 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lastRenderedPageBreak/>
        <w:t>оценить социальные факторы, влияющие на состояние физического и психологического здоровья пациента: культурные, этнические, религиозные, индивидуальные, семейные, социальные факторы риска (безработица, насилие, болезнь и смерть родственников и пр.);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поставить предварительный диагноз – синтезировать информацию о пациенте с целью определения патологии и причин, ее вызывающих;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наметить объем дополнительных исследований в соответствии с прогнозом болезни, для уточнения диагноза и получения достаточного результата;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сформулировать клинический диагноз;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синдромах;</w:t>
      </w:r>
    </w:p>
    <w:p w:rsidR="00D060C3" w:rsidRDefault="00D060C3" w:rsidP="00ED3AC1">
      <w:pPr>
        <w:numPr>
          <w:ilvl w:val="0"/>
          <w:numId w:val="6"/>
        </w:numPr>
        <w:suppressAutoHyphens/>
        <w:spacing w:line="276" w:lineRule="auto"/>
        <w:ind w:left="1378" w:hanging="357"/>
        <w:jc w:val="both"/>
      </w:pPr>
      <w:r>
        <w:t>наметить объем дополнительных исследований в соответствии с прогнозом болезни, для уточнения диагноза и получения достоверного результата;</w:t>
      </w:r>
    </w:p>
    <w:p w:rsidR="00D060C3" w:rsidRDefault="00D060C3" w:rsidP="00ED3AC1">
      <w:pPr>
        <w:numPr>
          <w:ilvl w:val="0"/>
          <w:numId w:val="6"/>
        </w:numPr>
        <w:suppressAutoHyphens/>
        <w:overflowPunct w:val="0"/>
        <w:autoSpaceDE w:val="0"/>
        <w:spacing w:before="120" w:line="276" w:lineRule="auto"/>
        <w:ind w:left="1378" w:hanging="357"/>
        <w:jc w:val="both"/>
        <w:textAlignment w:val="baseline"/>
      </w:pPr>
      <w:r>
        <w:t>использовать в лечебной деятельности методы первичной и вторичной профилактики (на основе доказательной медицины), устанавливать причинно-следственные связи изменений состояния здоровья от воздействия факторов среды обитания.</w:t>
      </w:r>
    </w:p>
    <w:p w:rsidR="00D060C3" w:rsidRDefault="00D060C3" w:rsidP="00ED3AC1">
      <w:pPr>
        <w:numPr>
          <w:ilvl w:val="0"/>
          <w:numId w:val="4"/>
        </w:numPr>
        <w:suppressAutoHyphens/>
        <w:spacing w:before="120" w:line="276" w:lineRule="auto"/>
        <w:jc w:val="both"/>
      </w:pPr>
      <w:r>
        <w:t>владеть:</w:t>
      </w:r>
    </w:p>
    <w:p w:rsidR="00D060C3" w:rsidRDefault="00D060C3" w:rsidP="00ED3AC1">
      <w:pPr>
        <w:numPr>
          <w:ilvl w:val="0"/>
          <w:numId w:val="7"/>
        </w:numPr>
        <w:suppressAutoHyphens/>
        <w:spacing w:line="276" w:lineRule="auto"/>
        <w:ind w:left="1321" w:hanging="357"/>
        <w:jc w:val="both"/>
      </w:pPr>
      <w:r>
        <w:t xml:space="preserve"> правильным ведением медицинской документации;</w:t>
      </w:r>
    </w:p>
    <w:p w:rsidR="00D060C3" w:rsidRDefault="00D060C3" w:rsidP="00ED3AC1">
      <w:pPr>
        <w:numPr>
          <w:ilvl w:val="0"/>
          <w:numId w:val="7"/>
        </w:numPr>
        <w:suppressAutoHyphens/>
        <w:spacing w:line="276" w:lineRule="auto"/>
        <w:ind w:left="1321" w:hanging="357"/>
        <w:jc w:val="both"/>
      </w:pPr>
      <w:r>
        <w:t xml:space="preserve"> интерпретацией результатов лабораторных, инструментальных методов диагностики;</w:t>
      </w:r>
    </w:p>
    <w:p w:rsidR="00D060C3" w:rsidRDefault="00D060C3" w:rsidP="00ED3AC1">
      <w:pPr>
        <w:numPr>
          <w:ilvl w:val="0"/>
          <w:numId w:val="7"/>
        </w:numPr>
        <w:suppressAutoHyphens/>
        <w:spacing w:line="276" w:lineRule="auto"/>
        <w:ind w:left="1321" w:hanging="357"/>
        <w:jc w:val="both"/>
      </w:pPr>
      <w:r>
        <w:t xml:space="preserve"> алгоритмом развернутого клинического диагноза;</w:t>
      </w:r>
    </w:p>
    <w:p w:rsidR="00D060C3" w:rsidRDefault="00D060C3" w:rsidP="00ED3AC1">
      <w:pPr>
        <w:numPr>
          <w:ilvl w:val="0"/>
          <w:numId w:val="7"/>
        </w:numPr>
        <w:suppressAutoHyphens/>
        <w:spacing w:line="276" w:lineRule="auto"/>
        <w:ind w:left="1321" w:hanging="357"/>
        <w:jc w:val="both"/>
      </w:pPr>
      <w:r>
        <w:t xml:space="preserve"> алгоритмом постановки предварительного диагноза с последующим направлением пациента к соответствующему врачу-специалисту.</w:t>
      </w:r>
    </w:p>
    <w:p w:rsidR="00ED3AC1" w:rsidRPr="0046658D" w:rsidRDefault="00ED3AC1" w:rsidP="00ED3AC1">
      <w:pPr>
        <w:widowControl w:val="0"/>
        <w:spacing w:line="276" w:lineRule="auto"/>
        <w:ind w:firstLine="567"/>
        <w:jc w:val="both"/>
        <w:rPr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11A3A" w:rsidRPr="0046658D" w:rsidTr="00911A3A">
        <w:tc>
          <w:tcPr>
            <w:tcW w:w="9464" w:type="dxa"/>
            <w:shd w:val="clear" w:color="auto" w:fill="auto"/>
            <w:vAlign w:val="center"/>
          </w:tcPr>
          <w:p w:rsidR="00911A3A" w:rsidRPr="0046658D" w:rsidRDefault="00911A3A" w:rsidP="00ED3AC1">
            <w:pPr>
              <w:widowControl w:val="0"/>
              <w:spacing w:line="276" w:lineRule="auto"/>
              <w:ind w:left="-57" w:right="-57"/>
              <w:jc w:val="center"/>
            </w:pPr>
            <w:r w:rsidRPr="0046658D">
              <w:rPr>
                <w:bCs/>
              </w:rPr>
              <w:t>Наименование раздела дисциплины</w:t>
            </w:r>
          </w:p>
        </w:tc>
      </w:tr>
      <w:tr w:rsidR="00911A3A" w:rsidRPr="0046658D" w:rsidTr="00911A3A">
        <w:tc>
          <w:tcPr>
            <w:tcW w:w="9464" w:type="dxa"/>
            <w:shd w:val="clear" w:color="auto" w:fill="auto"/>
          </w:tcPr>
          <w:p w:rsidR="00911A3A" w:rsidRDefault="00911A3A" w:rsidP="008C25BD">
            <w:pPr>
              <w:pStyle w:val="a8"/>
              <w:widowControl w:val="0"/>
              <w:ind w:left="0"/>
              <w:rPr>
                <w:lang w:eastAsia="zh-CN"/>
              </w:rPr>
            </w:pPr>
            <w:r>
              <w:t>Морфофункциональные основы когнитивных функций. Методы исследования высших мозговых функций.</w:t>
            </w:r>
          </w:p>
        </w:tc>
      </w:tr>
      <w:tr w:rsidR="00911A3A" w:rsidRPr="0046658D" w:rsidTr="00911A3A">
        <w:tc>
          <w:tcPr>
            <w:tcW w:w="9464" w:type="dxa"/>
            <w:shd w:val="clear" w:color="auto" w:fill="auto"/>
          </w:tcPr>
          <w:p w:rsidR="00911A3A" w:rsidRDefault="00911A3A" w:rsidP="008C25BD">
            <w:pPr>
              <w:pStyle w:val="a8"/>
              <w:widowControl w:val="0"/>
              <w:ind w:left="0"/>
              <w:rPr>
                <w:lang w:eastAsia="zh-CN"/>
              </w:rPr>
            </w:pPr>
            <w:r>
              <w:t xml:space="preserve">Нарушения когнитивных функций при локальных поражениях головного мозга. Афазии, агнозии, апраксии и амнезии. </w:t>
            </w:r>
          </w:p>
        </w:tc>
      </w:tr>
      <w:tr w:rsidR="00911A3A" w:rsidRPr="0046658D" w:rsidTr="00911A3A">
        <w:tc>
          <w:tcPr>
            <w:tcW w:w="9464" w:type="dxa"/>
            <w:shd w:val="clear" w:color="auto" w:fill="auto"/>
          </w:tcPr>
          <w:p w:rsidR="00911A3A" w:rsidRDefault="00911A3A" w:rsidP="008C25BD">
            <w:pPr>
              <w:pStyle w:val="a8"/>
              <w:widowControl w:val="0"/>
              <w:ind w:left="0"/>
              <w:rPr>
                <w:lang w:eastAsia="zh-CN"/>
              </w:rPr>
            </w:pPr>
            <w:r>
              <w:t xml:space="preserve">Деменция и </w:t>
            </w:r>
            <w:proofErr w:type="spellStart"/>
            <w:r>
              <w:t>недементные</w:t>
            </w:r>
            <w:proofErr w:type="spellEnd"/>
            <w:r>
              <w:t xml:space="preserve"> когнитивные нарушения. Определение, классификация, основные причины, диагностика и дифференциальная диагностика.</w:t>
            </w:r>
          </w:p>
        </w:tc>
      </w:tr>
      <w:tr w:rsidR="00911A3A" w:rsidRPr="0046658D" w:rsidTr="00911A3A">
        <w:tc>
          <w:tcPr>
            <w:tcW w:w="9464" w:type="dxa"/>
            <w:shd w:val="clear" w:color="auto" w:fill="auto"/>
          </w:tcPr>
          <w:p w:rsidR="00911A3A" w:rsidRDefault="00911A3A" w:rsidP="008C25BD">
            <w:pPr>
              <w:pStyle w:val="a8"/>
              <w:widowControl w:val="0"/>
              <w:ind w:left="0"/>
              <w:rPr>
                <w:lang w:eastAsia="zh-CN"/>
              </w:rPr>
            </w:pPr>
            <w:r>
              <w:t xml:space="preserve">Болезнь Альцгеймера: этиология, патогенез, клиника, диагностика, лечение. Понятие об умеренных когнитивных нарушениях. </w:t>
            </w:r>
          </w:p>
        </w:tc>
      </w:tr>
      <w:tr w:rsidR="00911A3A" w:rsidRPr="0046658D" w:rsidTr="00911A3A">
        <w:tc>
          <w:tcPr>
            <w:tcW w:w="9464" w:type="dxa"/>
            <w:shd w:val="clear" w:color="auto" w:fill="auto"/>
          </w:tcPr>
          <w:p w:rsidR="00911A3A" w:rsidRDefault="00911A3A" w:rsidP="008C25BD">
            <w:pPr>
              <w:pStyle w:val="a8"/>
              <w:widowControl w:val="0"/>
              <w:ind w:left="0"/>
              <w:rPr>
                <w:lang w:eastAsia="zh-CN"/>
              </w:rPr>
            </w:pPr>
            <w:r>
              <w:t>Сосудистые и смешанные (сосудисто-дегенеративные) когнитивные нарушения.</w:t>
            </w:r>
          </w:p>
        </w:tc>
      </w:tr>
      <w:tr w:rsidR="00911A3A" w:rsidRPr="0046658D" w:rsidTr="00911A3A">
        <w:tc>
          <w:tcPr>
            <w:tcW w:w="9464" w:type="dxa"/>
            <w:shd w:val="clear" w:color="auto" w:fill="auto"/>
          </w:tcPr>
          <w:p w:rsidR="00911A3A" w:rsidRDefault="00911A3A" w:rsidP="008C25BD">
            <w:pPr>
              <w:pStyle w:val="a8"/>
              <w:widowControl w:val="0"/>
              <w:ind w:left="0"/>
              <w:rPr>
                <w:lang w:eastAsia="zh-CN"/>
              </w:rPr>
            </w:pPr>
            <w:r>
              <w:t xml:space="preserve">Деменция с тельцами Леви: этиология, патогенез, клиника, диагностика, лечение. Когнитивные нарушения при </w:t>
            </w:r>
            <w:proofErr w:type="spellStart"/>
            <w:r>
              <w:t>нейроодегенеративных</w:t>
            </w:r>
            <w:proofErr w:type="spellEnd"/>
            <w:r>
              <w:t xml:space="preserve"> заболеваниях с преимущественным поражением подкорковых базальных ганглиев.</w:t>
            </w:r>
          </w:p>
        </w:tc>
      </w:tr>
      <w:tr w:rsidR="00911A3A" w:rsidRPr="0046658D" w:rsidTr="00911A3A">
        <w:tc>
          <w:tcPr>
            <w:tcW w:w="9464" w:type="dxa"/>
            <w:shd w:val="clear" w:color="auto" w:fill="auto"/>
          </w:tcPr>
          <w:p w:rsidR="00911A3A" w:rsidRDefault="00911A3A" w:rsidP="008C25BD">
            <w:pPr>
              <w:pStyle w:val="a8"/>
              <w:widowControl w:val="0"/>
              <w:ind w:left="0"/>
              <w:rPr>
                <w:lang w:eastAsia="zh-CN"/>
              </w:rPr>
            </w:pPr>
            <w:r>
              <w:t xml:space="preserve">Лобно-височная дегенерация и другие локальные формы атрофического процесса (первичная прогрессирующая афазия, задняя корковая атрофия, </w:t>
            </w:r>
            <w:proofErr w:type="spellStart"/>
            <w:r>
              <w:t>кортико</w:t>
            </w:r>
            <w:proofErr w:type="spellEnd"/>
            <w:r>
              <w:t xml:space="preserve">-базальная дегенерация). Болезнь </w:t>
            </w:r>
            <w:proofErr w:type="spellStart"/>
            <w:r>
              <w:t>Крейтцельда</w:t>
            </w:r>
            <w:proofErr w:type="spellEnd"/>
            <w:r>
              <w:t xml:space="preserve">-Якоба и другие </w:t>
            </w:r>
            <w:proofErr w:type="spellStart"/>
            <w:r>
              <w:t>нейроинфенкции</w:t>
            </w:r>
            <w:proofErr w:type="spellEnd"/>
            <w:r>
              <w:t xml:space="preserve"> с когнитивными нарушениями.</w:t>
            </w:r>
          </w:p>
        </w:tc>
      </w:tr>
      <w:tr w:rsidR="00911A3A" w:rsidRPr="0046658D" w:rsidTr="00911A3A">
        <w:tc>
          <w:tcPr>
            <w:tcW w:w="9464" w:type="dxa"/>
            <w:shd w:val="clear" w:color="auto" w:fill="auto"/>
          </w:tcPr>
          <w:p w:rsidR="00911A3A" w:rsidRDefault="00911A3A" w:rsidP="008C25BD">
            <w:pPr>
              <w:pStyle w:val="a8"/>
              <w:widowControl w:val="0"/>
              <w:ind w:left="0"/>
              <w:rPr>
                <w:lang w:eastAsia="zh-CN"/>
              </w:rPr>
            </w:pPr>
            <w:r>
              <w:lastRenderedPageBreak/>
              <w:t>Когнитивные расстройства при соматических заболеваниях и интоксикациях. Когнитивные расстройства при депрессии и тревоге.</w:t>
            </w:r>
          </w:p>
        </w:tc>
      </w:tr>
    </w:tbl>
    <w:p w:rsidR="00ED3AC1" w:rsidRDefault="00ED3AC1" w:rsidP="00ED3AC1">
      <w:pPr>
        <w:widowControl w:val="0"/>
        <w:spacing w:line="276" w:lineRule="auto"/>
        <w:ind w:firstLine="567"/>
        <w:jc w:val="both"/>
        <w:rPr>
          <w:bCs/>
        </w:rPr>
      </w:pPr>
    </w:p>
    <w:sectPr w:rsidR="00ED3AC1" w:rsidSect="00D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06" w:rsidRDefault="00610406" w:rsidP="00ED3AC1">
      <w:r>
        <w:separator/>
      </w:r>
    </w:p>
  </w:endnote>
  <w:endnote w:type="continuationSeparator" w:id="0">
    <w:p w:rsidR="00610406" w:rsidRDefault="00610406" w:rsidP="00ED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06" w:rsidRDefault="00610406" w:rsidP="00ED3AC1">
      <w:r>
        <w:separator/>
      </w:r>
    </w:p>
  </w:footnote>
  <w:footnote w:type="continuationSeparator" w:id="0">
    <w:p w:rsidR="00610406" w:rsidRDefault="00610406" w:rsidP="00ED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20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14"/>
        </w:tabs>
        <w:ind w:left="374" w:hanging="360"/>
      </w:pPr>
    </w:lvl>
  </w:abstractNum>
  <w:abstractNum w:abstractNumId="7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8">
    <w:nsid w:val="042D66FC"/>
    <w:multiLevelType w:val="hybridMultilevel"/>
    <w:tmpl w:val="50EAA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C946C8"/>
    <w:multiLevelType w:val="hybridMultilevel"/>
    <w:tmpl w:val="4BEC313C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>
    <w:nsid w:val="19922EC8"/>
    <w:multiLevelType w:val="hybridMultilevel"/>
    <w:tmpl w:val="D786DBF0"/>
    <w:lvl w:ilvl="0" w:tplc="00000020">
      <w:start w:val="1"/>
      <w:numFmt w:val="decimal"/>
      <w:lvlText w:val="%1."/>
      <w:lvlJc w:val="left"/>
      <w:pPr>
        <w:ind w:left="374" w:hanging="360"/>
      </w:p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1FE67E67"/>
    <w:multiLevelType w:val="hybridMultilevel"/>
    <w:tmpl w:val="FF26F06C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C5A34"/>
    <w:multiLevelType w:val="hybridMultilevel"/>
    <w:tmpl w:val="90B85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825F2E"/>
    <w:multiLevelType w:val="hybridMultilevel"/>
    <w:tmpl w:val="442E1152"/>
    <w:lvl w:ilvl="0" w:tplc="000000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A3B18"/>
    <w:multiLevelType w:val="hybridMultilevel"/>
    <w:tmpl w:val="0AF84280"/>
    <w:lvl w:ilvl="0" w:tplc="0419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41C1D"/>
    <w:multiLevelType w:val="hybridMultilevel"/>
    <w:tmpl w:val="5486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14"/>
  </w:num>
  <w:num w:numId="12">
    <w:abstractNumId w:val="11"/>
  </w:num>
  <w:num w:numId="13">
    <w:abstractNumId w:val="9"/>
  </w:num>
  <w:num w:numId="14">
    <w:abstractNumId w:val="15"/>
  </w:num>
  <w:num w:numId="15">
    <w:abstractNumId w:val="18"/>
  </w:num>
  <w:num w:numId="16">
    <w:abstractNumId w:val="13"/>
  </w:num>
  <w:num w:numId="17">
    <w:abstractNumId w:val="8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00"/>
    <w:rsid w:val="000267D5"/>
    <w:rsid w:val="000A1A29"/>
    <w:rsid w:val="001728D4"/>
    <w:rsid w:val="001760F0"/>
    <w:rsid w:val="001776BA"/>
    <w:rsid w:val="00420857"/>
    <w:rsid w:val="0052314B"/>
    <w:rsid w:val="0058738B"/>
    <w:rsid w:val="005B4255"/>
    <w:rsid w:val="00610406"/>
    <w:rsid w:val="00667700"/>
    <w:rsid w:val="00737CDE"/>
    <w:rsid w:val="007B5038"/>
    <w:rsid w:val="007E3FC7"/>
    <w:rsid w:val="008B1D8C"/>
    <w:rsid w:val="00911A3A"/>
    <w:rsid w:val="00B110CD"/>
    <w:rsid w:val="00C6566E"/>
    <w:rsid w:val="00C96FE6"/>
    <w:rsid w:val="00CE5BC6"/>
    <w:rsid w:val="00D060C3"/>
    <w:rsid w:val="00DC3995"/>
    <w:rsid w:val="00E8187D"/>
    <w:rsid w:val="00EC664A"/>
    <w:rsid w:val="00ED3AC1"/>
    <w:rsid w:val="00FB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6770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semiHidden/>
    <w:rsid w:val="00667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67700"/>
    <w:pPr>
      <w:jc w:val="center"/>
      <w:outlineLvl w:val="2"/>
    </w:pPr>
    <w:rPr>
      <w:b/>
      <w:sz w:val="28"/>
    </w:rPr>
  </w:style>
  <w:style w:type="character" w:customStyle="1" w:styleId="a6">
    <w:name w:val="Основной текст Знак"/>
    <w:link w:val="a5"/>
    <w:rsid w:val="0066770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Символ сноски"/>
    <w:rsid w:val="00ED3AC1"/>
    <w:rPr>
      <w:vertAlign w:val="superscript"/>
    </w:rPr>
  </w:style>
  <w:style w:type="paragraph" w:styleId="a8">
    <w:name w:val="Body Text Indent"/>
    <w:basedOn w:val="a"/>
    <w:link w:val="a9"/>
    <w:uiPriority w:val="99"/>
    <w:semiHidden/>
    <w:unhideWhenUsed/>
    <w:rsid w:val="00FB52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B5202"/>
    <w:rPr>
      <w:rFonts w:ascii="Times New Roman" w:eastAsia="Times New Roman" w:hAnsi="Times New Roman"/>
      <w:sz w:val="24"/>
      <w:szCs w:val="24"/>
    </w:rPr>
  </w:style>
  <w:style w:type="paragraph" w:customStyle="1" w:styleId="aa">
    <w:name w:val="Для таблиц"/>
    <w:basedOn w:val="a"/>
    <w:rsid w:val="00FB5202"/>
    <w:pPr>
      <w:suppressAutoHyphens/>
    </w:pPr>
    <w:rPr>
      <w:lang w:eastAsia="zh-CN"/>
    </w:rPr>
  </w:style>
  <w:style w:type="paragraph" w:styleId="3">
    <w:name w:val="Body Text 3"/>
    <w:basedOn w:val="a"/>
    <w:link w:val="30"/>
    <w:unhideWhenUsed/>
    <w:rsid w:val="00172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728D4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rsid w:val="001728D4"/>
    <w:rPr>
      <w:sz w:val="16"/>
      <w:szCs w:val="16"/>
    </w:rPr>
  </w:style>
  <w:style w:type="character" w:styleId="ab">
    <w:name w:val="Hyperlink"/>
    <w:uiPriority w:val="99"/>
    <w:unhideWhenUsed/>
    <w:rsid w:val="007B5038"/>
    <w:rPr>
      <w:color w:val="0000FF"/>
      <w:u w:val="single"/>
    </w:rPr>
  </w:style>
  <w:style w:type="paragraph" w:styleId="ac">
    <w:name w:val="Normal (Web)"/>
    <w:basedOn w:val="a"/>
    <w:rsid w:val="007B5038"/>
    <w:pPr>
      <w:tabs>
        <w:tab w:val="num" w:pos="720"/>
      </w:tabs>
      <w:suppressAutoHyphens/>
      <w:spacing w:before="280" w:after="280"/>
      <w:ind w:left="720" w:hanging="36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6770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semiHidden/>
    <w:rsid w:val="00667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67700"/>
    <w:pPr>
      <w:jc w:val="center"/>
      <w:outlineLvl w:val="2"/>
    </w:pPr>
    <w:rPr>
      <w:b/>
      <w:sz w:val="28"/>
    </w:rPr>
  </w:style>
  <w:style w:type="character" w:customStyle="1" w:styleId="a6">
    <w:name w:val="Основной текст Знак"/>
    <w:link w:val="a5"/>
    <w:rsid w:val="0066770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Символ сноски"/>
    <w:rsid w:val="00ED3AC1"/>
    <w:rPr>
      <w:vertAlign w:val="superscript"/>
    </w:rPr>
  </w:style>
  <w:style w:type="paragraph" w:styleId="a8">
    <w:name w:val="Body Text Indent"/>
    <w:basedOn w:val="a"/>
    <w:link w:val="a9"/>
    <w:uiPriority w:val="99"/>
    <w:semiHidden/>
    <w:unhideWhenUsed/>
    <w:rsid w:val="00FB52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FB5202"/>
    <w:rPr>
      <w:rFonts w:ascii="Times New Roman" w:eastAsia="Times New Roman" w:hAnsi="Times New Roman"/>
      <w:sz w:val="24"/>
      <w:szCs w:val="24"/>
    </w:rPr>
  </w:style>
  <w:style w:type="paragraph" w:customStyle="1" w:styleId="aa">
    <w:name w:val="Для таблиц"/>
    <w:basedOn w:val="a"/>
    <w:rsid w:val="00FB5202"/>
    <w:pPr>
      <w:suppressAutoHyphens/>
    </w:pPr>
    <w:rPr>
      <w:lang w:eastAsia="zh-CN"/>
    </w:rPr>
  </w:style>
  <w:style w:type="paragraph" w:styleId="3">
    <w:name w:val="Body Text 3"/>
    <w:basedOn w:val="a"/>
    <w:link w:val="30"/>
    <w:unhideWhenUsed/>
    <w:rsid w:val="001728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728D4"/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rsid w:val="001728D4"/>
    <w:rPr>
      <w:sz w:val="16"/>
      <w:szCs w:val="16"/>
    </w:rPr>
  </w:style>
  <w:style w:type="character" w:styleId="ab">
    <w:name w:val="Hyperlink"/>
    <w:uiPriority w:val="99"/>
    <w:unhideWhenUsed/>
    <w:rsid w:val="007B5038"/>
    <w:rPr>
      <w:color w:val="0000FF"/>
      <w:u w:val="single"/>
    </w:rPr>
  </w:style>
  <w:style w:type="paragraph" w:styleId="ac">
    <w:name w:val="Normal (Web)"/>
    <w:basedOn w:val="a"/>
    <w:rsid w:val="007B5038"/>
    <w:pPr>
      <w:tabs>
        <w:tab w:val="num" w:pos="720"/>
      </w:tabs>
      <w:suppressAutoHyphens/>
      <w:spacing w:before="280" w:after="280"/>
      <w:ind w:left="720" w:hanging="36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4335</CharactersWithSpaces>
  <SharedDoc>false</SharedDoc>
  <HLinks>
    <vt:vector size="36" baseType="variant">
      <vt:variant>
        <vt:i4>131089</vt:i4>
      </vt:variant>
      <vt:variant>
        <vt:i4>15</vt:i4>
      </vt:variant>
      <vt:variant>
        <vt:i4>0</vt:i4>
      </vt:variant>
      <vt:variant>
        <vt:i4>5</vt:i4>
      </vt:variant>
      <vt:variant>
        <vt:lpwstr>http://jnnp.bmj.com/</vt:lpwstr>
      </vt:variant>
      <vt:variant>
        <vt:lpwstr/>
      </vt:variant>
      <vt:variant>
        <vt:i4>6750248</vt:i4>
      </vt:variant>
      <vt:variant>
        <vt:i4>12</vt:i4>
      </vt:variant>
      <vt:variant>
        <vt:i4>0</vt:i4>
      </vt:variant>
      <vt:variant>
        <vt:i4>5</vt:i4>
      </vt:variant>
      <vt:variant>
        <vt:lpwstr>http://www.alzrus.org/index.htm</vt:lpwstr>
      </vt:variant>
      <vt:variant>
        <vt:lpwstr/>
      </vt:variant>
      <vt:variant>
        <vt:i4>8257642</vt:i4>
      </vt:variant>
      <vt:variant>
        <vt:i4>9</vt:i4>
      </vt:variant>
      <vt:variant>
        <vt:i4>0</vt:i4>
      </vt:variant>
      <vt:variant>
        <vt:i4>5</vt:i4>
      </vt:variant>
      <vt:variant>
        <vt:lpwstr>http://www.euro.who.int/en/home</vt:lpwstr>
      </vt:variant>
      <vt:variant>
        <vt:lpwstr/>
      </vt:variant>
      <vt:variant>
        <vt:i4>4128871</vt:i4>
      </vt:variant>
      <vt:variant>
        <vt:i4>6</vt:i4>
      </vt:variant>
      <vt:variant>
        <vt:i4>0</vt:i4>
      </vt:variant>
      <vt:variant>
        <vt:i4>5</vt:i4>
      </vt:variant>
      <vt:variant>
        <vt:lpwstr>http://www.mescape.com/</vt:lpwstr>
      </vt:variant>
      <vt:variant>
        <vt:lpwstr/>
      </vt:variant>
      <vt:variant>
        <vt:i4>4259856</vt:i4>
      </vt:variant>
      <vt:variant>
        <vt:i4>3</vt:i4>
      </vt:variant>
      <vt:variant>
        <vt:i4>0</vt:i4>
      </vt:variant>
      <vt:variant>
        <vt:i4>5</vt:i4>
      </vt:variant>
      <vt:variant>
        <vt:lpwstr>http://www.neurology.org/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http://www.ncbi.nlm.nih.gov/pmc/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2018-03-16T10:17:00Z</dcterms:created>
  <dcterms:modified xsi:type="dcterms:W3CDTF">2018-03-16T10:17:00Z</dcterms:modified>
</cp:coreProperties>
</file>