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Pr="00C7280B" w:rsidRDefault="00F6397F" w:rsidP="00F6397F">
      <w:pPr>
        <w:spacing w:line="276" w:lineRule="auto"/>
        <w:ind w:left="3969"/>
        <w:rPr>
          <w:rFonts w:eastAsia="Calibri"/>
        </w:rPr>
      </w:pPr>
      <w:r w:rsidRPr="00C7280B">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7280B" w:rsidRDefault="00612B32" w:rsidP="009932FE">
      <w:pPr>
        <w:rPr>
          <w:b/>
          <w:sz w:val="26"/>
          <w:szCs w:val="26"/>
        </w:rPr>
      </w:pPr>
      <w:r w:rsidRPr="00C7280B">
        <w:rPr>
          <w:b/>
          <w:sz w:val="26"/>
          <w:szCs w:val="26"/>
        </w:rPr>
        <w:t xml:space="preserve">Структура научного профиля (портфолио) потенциальных научных руководителей участников </w:t>
      </w:r>
      <w:r w:rsidR="00443334" w:rsidRPr="00C7280B">
        <w:rPr>
          <w:b/>
          <w:sz w:val="26"/>
          <w:szCs w:val="26"/>
        </w:rPr>
        <w:t xml:space="preserve">трека аспирантуры </w:t>
      </w:r>
      <w:r w:rsidRPr="00C7280B">
        <w:rPr>
          <w:b/>
          <w:sz w:val="26"/>
          <w:szCs w:val="26"/>
        </w:rPr>
        <w:t>Международной олимпиады Ассоциации «Глобальные университеты» для абитуриентов магистратуры и аспирантуры</w:t>
      </w:r>
      <w:r w:rsidR="00084771" w:rsidRPr="00C7280B">
        <w:rPr>
          <w:b/>
          <w:sz w:val="26"/>
          <w:szCs w:val="26"/>
        </w:rPr>
        <w:t>.</w:t>
      </w:r>
    </w:p>
    <w:p w14:paraId="10C56303" w14:textId="6ADD51AA" w:rsidR="00B60CF3" w:rsidRPr="00C7280B" w:rsidRDefault="00B60CF3" w:rsidP="009932FE">
      <w:pPr>
        <w:rPr>
          <w:b/>
        </w:rPr>
      </w:pPr>
      <w:r w:rsidRPr="00C7280B">
        <w:rPr>
          <w:b/>
        </w:rPr>
        <w:t xml:space="preserve">На русском языке: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AD1259" w:rsidRPr="00C7280B" w14:paraId="23FD6442" w14:textId="77777777" w:rsidTr="009932FE">
        <w:trPr>
          <w:trHeight w:val="148"/>
        </w:trPr>
        <w:tc>
          <w:tcPr>
            <w:tcW w:w="3544" w:type="dxa"/>
            <w:shd w:val="clear" w:color="auto" w:fill="auto"/>
            <w:noWrap/>
          </w:tcPr>
          <w:p w14:paraId="2A345705" w14:textId="77777777" w:rsidR="00AD1259" w:rsidRPr="00C7280B" w:rsidRDefault="00AD1259" w:rsidP="00AD1259">
            <w:pPr>
              <w:spacing w:after="0"/>
              <w:rPr>
                <w:color w:val="000000"/>
              </w:rPr>
            </w:pPr>
            <w:r w:rsidRPr="00C7280B">
              <w:rPr>
                <w:color w:val="000000"/>
              </w:rPr>
              <w:t>Университет</w:t>
            </w:r>
          </w:p>
        </w:tc>
        <w:tc>
          <w:tcPr>
            <w:tcW w:w="6379" w:type="dxa"/>
            <w:shd w:val="clear" w:color="auto" w:fill="auto"/>
            <w:noWrap/>
          </w:tcPr>
          <w:p w14:paraId="34FB33C2" w14:textId="1E4089FE" w:rsidR="00AD1259" w:rsidRPr="00C7280B" w:rsidRDefault="00AD1259" w:rsidP="008971A2">
            <w:pPr>
              <w:spacing w:after="0"/>
              <w:jc w:val="left"/>
              <w:rPr>
                <w:i/>
                <w:color w:val="000000"/>
              </w:rPr>
            </w:pPr>
            <w:r w:rsidRPr="00C7280B">
              <w:rPr>
                <w:i/>
                <w:color w:val="000000"/>
              </w:rPr>
              <w:t>ФГАОУ ВО Первый МГМУ им. И.М. Сеченова Минздрава Р</w:t>
            </w:r>
            <w:r w:rsidR="00032415">
              <w:rPr>
                <w:i/>
                <w:color w:val="000000"/>
              </w:rPr>
              <w:t>оссии</w:t>
            </w:r>
            <w:r w:rsidRPr="00C7280B">
              <w:rPr>
                <w:i/>
                <w:color w:val="000000"/>
              </w:rPr>
              <w:t xml:space="preserve"> (Сеченовский университет)</w:t>
            </w:r>
          </w:p>
        </w:tc>
      </w:tr>
      <w:tr w:rsidR="00AD1259" w:rsidRPr="00C7280B" w14:paraId="6F0F3C2F" w14:textId="77777777" w:rsidTr="009932FE">
        <w:trPr>
          <w:trHeight w:val="148"/>
        </w:trPr>
        <w:tc>
          <w:tcPr>
            <w:tcW w:w="3544" w:type="dxa"/>
            <w:shd w:val="clear" w:color="auto" w:fill="auto"/>
            <w:noWrap/>
          </w:tcPr>
          <w:p w14:paraId="71FBF1A8" w14:textId="77777777" w:rsidR="00AD1259" w:rsidRPr="00C7280B" w:rsidRDefault="00AD1259" w:rsidP="00AD1259">
            <w:pPr>
              <w:spacing w:after="0"/>
              <w:rPr>
                <w:color w:val="000000"/>
              </w:rPr>
            </w:pPr>
            <w:r w:rsidRPr="00C7280B">
              <w:t>Уровень владения английским языком</w:t>
            </w:r>
          </w:p>
        </w:tc>
        <w:tc>
          <w:tcPr>
            <w:tcW w:w="6379" w:type="dxa"/>
            <w:shd w:val="clear" w:color="auto" w:fill="auto"/>
            <w:noWrap/>
          </w:tcPr>
          <w:p w14:paraId="6972AACC" w14:textId="6DD045A1" w:rsidR="00AD1259" w:rsidRPr="00C7280B" w:rsidRDefault="00AD1259" w:rsidP="008971A2">
            <w:pPr>
              <w:spacing w:after="0"/>
              <w:jc w:val="left"/>
              <w:rPr>
                <w:i/>
                <w:color w:val="000000"/>
              </w:rPr>
            </w:pPr>
            <w:r w:rsidRPr="00C7280B">
              <w:rPr>
                <w:i/>
                <w:color w:val="000000"/>
                <w:lang w:val="en-US"/>
              </w:rPr>
              <w:t>Upper intermediate</w:t>
            </w:r>
          </w:p>
        </w:tc>
      </w:tr>
      <w:tr w:rsidR="00AD1259" w:rsidRPr="00C7280B" w14:paraId="134B7FE0" w14:textId="77777777" w:rsidTr="009932FE">
        <w:trPr>
          <w:trHeight w:val="148"/>
        </w:trPr>
        <w:tc>
          <w:tcPr>
            <w:tcW w:w="3544" w:type="dxa"/>
            <w:shd w:val="clear" w:color="auto" w:fill="auto"/>
            <w:noWrap/>
          </w:tcPr>
          <w:p w14:paraId="3684BC61" w14:textId="6AFD364F" w:rsidR="00AD1259" w:rsidRPr="00C7280B" w:rsidRDefault="00AD1259" w:rsidP="008971A2">
            <w:pPr>
              <w:spacing w:after="0"/>
              <w:rPr>
                <w:color w:val="000000"/>
              </w:rPr>
            </w:pPr>
            <w:r w:rsidRPr="00C7280B">
              <w:rPr>
                <w:color w:val="000000"/>
              </w:rPr>
              <w:t>Направление подготовки и профиль образовательной программы, на которую будет приниматься аспирант</w:t>
            </w:r>
          </w:p>
        </w:tc>
        <w:tc>
          <w:tcPr>
            <w:tcW w:w="6379" w:type="dxa"/>
            <w:shd w:val="clear" w:color="auto" w:fill="auto"/>
            <w:noWrap/>
          </w:tcPr>
          <w:p w14:paraId="3FA993F1" w14:textId="77777777" w:rsidR="00AD1259" w:rsidRPr="00C7280B" w:rsidRDefault="00AD1259" w:rsidP="00AD1259">
            <w:pPr>
              <w:spacing w:after="0"/>
              <w:jc w:val="left"/>
              <w:rPr>
                <w:i/>
                <w:color w:val="000000"/>
              </w:rPr>
            </w:pPr>
            <w:r w:rsidRPr="00C7280B">
              <w:rPr>
                <w:i/>
                <w:color w:val="000000"/>
              </w:rPr>
              <w:t>31.06.01. Клиническая медицина</w:t>
            </w:r>
          </w:p>
          <w:p w14:paraId="1D3B9EE5" w14:textId="045A85CD" w:rsidR="00AD1259" w:rsidRPr="00C7280B" w:rsidRDefault="00AD1259" w:rsidP="00AD1259">
            <w:pPr>
              <w:spacing w:after="0"/>
              <w:jc w:val="left"/>
              <w:rPr>
                <w:color w:val="000000"/>
              </w:rPr>
            </w:pPr>
            <w:r w:rsidRPr="00C7280B">
              <w:rPr>
                <w:i/>
                <w:color w:val="000000"/>
              </w:rPr>
              <w:t>3.1.21. Педиатрия</w:t>
            </w:r>
          </w:p>
        </w:tc>
      </w:tr>
      <w:tr w:rsidR="00AD1259" w:rsidRPr="00C7280B" w14:paraId="476754AC" w14:textId="77777777" w:rsidTr="009932FE">
        <w:trPr>
          <w:trHeight w:val="148"/>
        </w:trPr>
        <w:tc>
          <w:tcPr>
            <w:tcW w:w="3544" w:type="dxa"/>
            <w:shd w:val="clear" w:color="auto" w:fill="auto"/>
            <w:noWrap/>
          </w:tcPr>
          <w:p w14:paraId="51813B70" w14:textId="7E455173" w:rsidR="00AD1259" w:rsidRPr="00C7280B" w:rsidRDefault="00AD1259" w:rsidP="0007348D">
            <w:pPr>
              <w:spacing w:after="0"/>
              <w:jc w:val="left"/>
            </w:pPr>
            <w:r w:rsidRPr="00C7280B">
              <w:t>Перечень исследовательских проектов потенциального научного руководителя (участие/руководство)</w:t>
            </w:r>
          </w:p>
        </w:tc>
        <w:tc>
          <w:tcPr>
            <w:tcW w:w="6379" w:type="dxa"/>
            <w:shd w:val="clear" w:color="auto" w:fill="auto"/>
            <w:noWrap/>
          </w:tcPr>
          <w:p w14:paraId="6786DFE3" w14:textId="77777777" w:rsidR="00AD1259" w:rsidRPr="00C7280B" w:rsidRDefault="00AD1259" w:rsidP="00AD1259">
            <w:pPr>
              <w:spacing w:after="0"/>
              <w:jc w:val="left"/>
              <w:rPr>
                <w:i/>
                <w:color w:val="000000"/>
              </w:rPr>
            </w:pPr>
            <w:r w:rsidRPr="00C7280B">
              <w:rPr>
                <w:i/>
                <w:color w:val="000000"/>
              </w:rPr>
              <w:t>1. Участник проекта JAMAR (европейский регистр больных ювенильным идиопатическим артритом), организованным PRINTO.</w:t>
            </w:r>
          </w:p>
          <w:p w14:paraId="3C47F563" w14:textId="77777777" w:rsidR="00AD1259" w:rsidRPr="00C7280B" w:rsidRDefault="00AD1259" w:rsidP="00AD1259">
            <w:pPr>
              <w:spacing w:after="0"/>
              <w:jc w:val="left"/>
              <w:rPr>
                <w:i/>
                <w:color w:val="000000"/>
              </w:rPr>
            </w:pPr>
            <w:r w:rsidRPr="00C7280B">
              <w:rPr>
                <w:i/>
                <w:color w:val="000000"/>
              </w:rPr>
              <w:t>2. Участие в международном регистре пациентов со склеродермией EUSTAR.</w:t>
            </w:r>
          </w:p>
          <w:p w14:paraId="4C83E3D0" w14:textId="77777777" w:rsidR="00AD1259" w:rsidRPr="00C7280B" w:rsidRDefault="00AD1259" w:rsidP="00AD1259">
            <w:pPr>
              <w:spacing w:after="0"/>
              <w:jc w:val="left"/>
              <w:rPr>
                <w:i/>
                <w:color w:val="000000"/>
              </w:rPr>
            </w:pPr>
            <w:r w:rsidRPr="00C7280B">
              <w:rPr>
                <w:i/>
                <w:color w:val="000000"/>
              </w:rPr>
              <w:t>3. Участие в международном регистре пациентов с аутовоспалительными синдромами EUROFEVER</w:t>
            </w:r>
          </w:p>
          <w:p w14:paraId="7AC78876" w14:textId="24031F8D" w:rsidR="00AD1259" w:rsidRPr="00C7280B" w:rsidRDefault="00AD1259" w:rsidP="00AD1259">
            <w:pPr>
              <w:spacing w:after="0"/>
              <w:jc w:val="left"/>
              <w:rPr>
                <w:i/>
                <w:color w:val="000000"/>
              </w:rPr>
            </w:pPr>
            <w:r w:rsidRPr="00C7280B">
              <w:rPr>
                <w:i/>
                <w:color w:val="000000"/>
              </w:rPr>
              <w:t xml:space="preserve">4. </w:t>
            </w:r>
            <w:r w:rsidR="00DB024E" w:rsidRPr="00C7280B">
              <w:rPr>
                <w:i/>
                <w:color w:val="000000"/>
              </w:rPr>
              <w:t>Руководитель проекта «</w:t>
            </w:r>
            <w:r w:rsidR="0080724D" w:rsidRPr="00C7280B">
              <w:rPr>
                <w:i/>
                <w:color w:val="000000"/>
              </w:rPr>
              <w:t>Состояние меди</w:t>
            </w:r>
            <w:r w:rsidR="00DB024E" w:rsidRPr="00C7280B">
              <w:rPr>
                <w:i/>
                <w:color w:val="000000"/>
              </w:rPr>
              <w:t xml:space="preserve">цинской помощи детям по профилю </w:t>
            </w:r>
            <w:r w:rsidR="0080724D" w:rsidRPr="00C7280B">
              <w:rPr>
                <w:i/>
                <w:color w:val="000000"/>
              </w:rPr>
              <w:t>«Ревматология» на примере ювенильного идиопатического артрита и системной красной волчанки</w:t>
            </w:r>
            <w:r w:rsidR="00DB024E" w:rsidRPr="00C7280B">
              <w:rPr>
                <w:i/>
                <w:color w:val="000000"/>
              </w:rPr>
              <w:t>»</w:t>
            </w:r>
          </w:p>
          <w:p w14:paraId="65D21472" w14:textId="3056773E" w:rsidR="00AD1259" w:rsidRPr="00C7280B" w:rsidRDefault="00AD1259" w:rsidP="0080724D">
            <w:pPr>
              <w:spacing w:after="0"/>
              <w:jc w:val="left"/>
              <w:rPr>
                <w:i/>
                <w:color w:val="000000"/>
              </w:rPr>
            </w:pPr>
            <w:r w:rsidRPr="00C7280B">
              <w:rPr>
                <w:i/>
                <w:color w:val="000000"/>
              </w:rPr>
              <w:t xml:space="preserve">5. </w:t>
            </w:r>
            <w:r w:rsidR="00DB024E" w:rsidRPr="00C7280B">
              <w:rPr>
                <w:i/>
                <w:color w:val="000000"/>
              </w:rPr>
              <w:t>Руководитель проекта «</w:t>
            </w:r>
            <w:r w:rsidR="0080724D" w:rsidRPr="00C7280B">
              <w:rPr>
                <w:i/>
                <w:color w:val="000000"/>
              </w:rPr>
              <w:t>Фенотипиче</w:t>
            </w:r>
            <w:r w:rsidR="00DB024E" w:rsidRPr="00C7280B">
              <w:rPr>
                <w:i/>
                <w:color w:val="000000"/>
              </w:rPr>
              <w:t xml:space="preserve">ские и генетические особенности </w:t>
            </w:r>
            <w:r w:rsidR="0080724D" w:rsidRPr="00C7280B">
              <w:rPr>
                <w:i/>
                <w:color w:val="000000"/>
              </w:rPr>
              <w:t>аутовоспалительных синдромов у детей</w:t>
            </w:r>
            <w:r w:rsidR="00DB024E" w:rsidRPr="00C7280B">
              <w:rPr>
                <w:i/>
                <w:color w:val="000000"/>
              </w:rPr>
              <w:t>»</w:t>
            </w:r>
          </w:p>
        </w:tc>
      </w:tr>
      <w:tr w:rsidR="00AD1259" w:rsidRPr="00C7280B" w14:paraId="35C2F14C" w14:textId="77777777" w:rsidTr="009932FE">
        <w:trPr>
          <w:trHeight w:val="148"/>
        </w:trPr>
        <w:tc>
          <w:tcPr>
            <w:tcW w:w="3544" w:type="dxa"/>
            <w:shd w:val="clear" w:color="auto" w:fill="auto"/>
            <w:noWrap/>
          </w:tcPr>
          <w:p w14:paraId="072A783D" w14:textId="53CB1844" w:rsidR="00AD1259" w:rsidRPr="00C7280B" w:rsidRDefault="00AD1259" w:rsidP="0007348D">
            <w:pPr>
              <w:spacing w:after="0"/>
              <w:jc w:val="left"/>
            </w:pPr>
            <w:r w:rsidRPr="00C7280B">
              <w:t>Перечень предлагаемых соискателям тем для исследовательской работы</w:t>
            </w:r>
          </w:p>
        </w:tc>
        <w:tc>
          <w:tcPr>
            <w:tcW w:w="6379" w:type="dxa"/>
            <w:shd w:val="clear" w:color="auto" w:fill="auto"/>
            <w:noWrap/>
          </w:tcPr>
          <w:p w14:paraId="299733CC" w14:textId="6EB58179" w:rsidR="00AD1259" w:rsidRPr="00C7280B" w:rsidRDefault="00AD1259" w:rsidP="0080724D">
            <w:pPr>
              <w:pStyle w:val="a3"/>
              <w:numPr>
                <w:ilvl w:val="0"/>
                <w:numId w:val="3"/>
              </w:numPr>
              <w:spacing w:after="0"/>
              <w:rPr>
                <w:rFonts w:ascii="Times New Roman" w:hAnsi="Times New Roman" w:cs="Times New Roman"/>
                <w:i/>
                <w:color w:val="000000"/>
                <w:sz w:val="24"/>
                <w:szCs w:val="24"/>
              </w:rPr>
            </w:pPr>
            <w:r w:rsidRPr="00C7280B">
              <w:rPr>
                <w:rFonts w:ascii="Times New Roman" w:hAnsi="Times New Roman" w:cs="Times New Roman"/>
                <w:i/>
                <w:color w:val="000000"/>
                <w:sz w:val="24"/>
                <w:szCs w:val="24"/>
              </w:rPr>
              <w:t>Изучение этиологических факторов и патогенетических механизмов развития ревматических заболеваний у детей</w:t>
            </w:r>
          </w:p>
          <w:p w14:paraId="28AADB6C" w14:textId="77777777" w:rsidR="00AD1259" w:rsidRPr="00C7280B" w:rsidRDefault="00AD1259" w:rsidP="0080724D">
            <w:pPr>
              <w:pStyle w:val="a3"/>
              <w:numPr>
                <w:ilvl w:val="0"/>
                <w:numId w:val="3"/>
              </w:numPr>
              <w:spacing w:after="0"/>
              <w:rPr>
                <w:rFonts w:ascii="Times New Roman" w:hAnsi="Times New Roman" w:cs="Times New Roman"/>
                <w:i/>
                <w:color w:val="000000"/>
                <w:sz w:val="24"/>
                <w:szCs w:val="24"/>
              </w:rPr>
            </w:pPr>
            <w:r w:rsidRPr="00C7280B">
              <w:rPr>
                <w:rFonts w:ascii="Times New Roman" w:hAnsi="Times New Roman" w:cs="Times New Roman"/>
                <w:i/>
                <w:color w:val="000000"/>
                <w:sz w:val="24"/>
                <w:szCs w:val="24"/>
              </w:rPr>
              <w:t>Внедрение новых методов диагностики ревматических болезней</w:t>
            </w:r>
          </w:p>
          <w:p w14:paraId="3DB08E8F" w14:textId="2BFDDFAF" w:rsidR="00AD1259" w:rsidRPr="00C7280B" w:rsidRDefault="00AD1259" w:rsidP="0080724D">
            <w:pPr>
              <w:pStyle w:val="a3"/>
              <w:numPr>
                <w:ilvl w:val="0"/>
                <w:numId w:val="3"/>
              </w:numPr>
              <w:spacing w:after="0"/>
              <w:rPr>
                <w:rFonts w:ascii="Times New Roman" w:hAnsi="Times New Roman" w:cs="Times New Roman"/>
                <w:i/>
                <w:color w:val="000000"/>
                <w:sz w:val="24"/>
                <w:szCs w:val="24"/>
              </w:rPr>
            </w:pPr>
            <w:r w:rsidRPr="00C7280B">
              <w:rPr>
                <w:rFonts w:ascii="Times New Roman" w:hAnsi="Times New Roman" w:cs="Times New Roman"/>
                <w:i/>
                <w:color w:val="000000"/>
                <w:sz w:val="24"/>
                <w:szCs w:val="24"/>
              </w:rPr>
              <w:t xml:space="preserve">Разработка </w:t>
            </w:r>
            <w:r w:rsidR="005A389E" w:rsidRPr="00C7280B">
              <w:rPr>
                <w:rFonts w:ascii="Times New Roman" w:hAnsi="Times New Roman" w:cs="Times New Roman"/>
                <w:i/>
                <w:color w:val="000000"/>
                <w:sz w:val="24"/>
                <w:szCs w:val="24"/>
              </w:rPr>
              <w:t>персонифицированного</w:t>
            </w:r>
            <w:r w:rsidRPr="00C7280B">
              <w:rPr>
                <w:rFonts w:ascii="Times New Roman" w:hAnsi="Times New Roman" w:cs="Times New Roman"/>
                <w:i/>
                <w:color w:val="000000"/>
                <w:sz w:val="24"/>
                <w:szCs w:val="24"/>
              </w:rPr>
              <w:t xml:space="preserve"> подхода к </w:t>
            </w:r>
            <w:r w:rsidR="005A389E" w:rsidRPr="00C7280B">
              <w:rPr>
                <w:rFonts w:ascii="Times New Roman" w:hAnsi="Times New Roman" w:cs="Times New Roman"/>
                <w:i/>
                <w:color w:val="000000"/>
                <w:sz w:val="24"/>
                <w:szCs w:val="24"/>
              </w:rPr>
              <w:t>терапии ревматических заболеваний у детей</w:t>
            </w:r>
          </w:p>
          <w:p w14:paraId="3959D300" w14:textId="6B0E6F64" w:rsidR="00AD1259" w:rsidRPr="00C7280B" w:rsidRDefault="00AD1259" w:rsidP="0080724D">
            <w:pPr>
              <w:pStyle w:val="a3"/>
              <w:numPr>
                <w:ilvl w:val="0"/>
                <w:numId w:val="3"/>
              </w:numPr>
              <w:spacing w:after="0"/>
              <w:rPr>
                <w:rFonts w:ascii="Times New Roman" w:hAnsi="Times New Roman" w:cs="Times New Roman"/>
                <w:i/>
                <w:color w:val="000000"/>
                <w:sz w:val="24"/>
                <w:szCs w:val="24"/>
              </w:rPr>
            </w:pPr>
            <w:r w:rsidRPr="00C7280B">
              <w:rPr>
                <w:rFonts w:ascii="Times New Roman" w:hAnsi="Times New Roman" w:cs="Times New Roman"/>
                <w:i/>
                <w:color w:val="000000"/>
                <w:sz w:val="24"/>
                <w:szCs w:val="24"/>
              </w:rPr>
              <w:t>Внедрение новых</w:t>
            </w:r>
            <w:r w:rsidR="005A389E" w:rsidRPr="00C7280B">
              <w:rPr>
                <w:rFonts w:ascii="Times New Roman" w:hAnsi="Times New Roman" w:cs="Times New Roman"/>
                <w:i/>
                <w:color w:val="000000"/>
                <w:sz w:val="24"/>
                <w:szCs w:val="24"/>
              </w:rPr>
              <w:t xml:space="preserve"> методов лекарственной терапии ревматических заболеваний</w:t>
            </w:r>
          </w:p>
          <w:p w14:paraId="460072AD" w14:textId="77777777" w:rsidR="00AD1259" w:rsidRPr="00C7280B" w:rsidRDefault="00AD1259" w:rsidP="0080724D">
            <w:pPr>
              <w:pStyle w:val="a3"/>
              <w:numPr>
                <w:ilvl w:val="0"/>
                <w:numId w:val="3"/>
              </w:numPr>
              <w:spacing w:after="0"/>
              <w:rPr>
                <w:rFonts w:ascii="Times New Roman" w:hAnsi="Times New Roman" w:cs="Times New Roman"/>
                <w:i/>
                <w:color w:val="000000"/>
                <w:sz w:val="24"/>
                <w:szCs w:val="24"/>
              </w:rPr>
            </w:pPr>
            <w:r w:rsidRPr="00C7280B">
              <w:rPr>
                <w:rFonts w:ascii="Times New Roman" w:hAnsi="Times New Roman" w:cs="Times New Roman"/>
                <w:i/>
                <w:color w:val="000000"/>
                <w:sz w:val="24"/>
                <w:szCs w:val="24"/>
              </w:rPr>
              <w:t>Оценка прогностических критериев ревматических заболеваний</w:t>
            </w:r>
          </w:p>
          <w:p w14:paraId="03538286" w14:textId="54810AB3" w:rsidR="00AD1259" w:rsidRPr="00C7280B" w:rsidRDefault="00AD1259" w:rsidP="003A0C7D">
            <w:pPr>
              <w:pStyle w:val="a3"/>
              <w:numPr>
                <w:ilvl w:val="0"/>
                <w:numId w:val="3"/>
              </w:numPr>
              <w:spacing w:after="0"/>
              <w:rPr>
                <w:rFonts w:ascii="Times New Roman" w:hAnsi="Times New Roman" w:cs="Times New Roman"/>
                <w:i/>
                <w:color w:val="000000"/>
                <w:sz w:val="24"/>
                <w:szCs w:val="24"/>
              </w:rPr>
            </w:pPr>
            <w:r w:rsidRPr="00C7280B">
              <w:rPr>
                <w:rFonts w:ascii="Times New Roman" w:hAnsi="Times New Roman" w:cs="Times New Roman"/>
                <w:i/>
                <w:color w:val="000000"/>
                <w:sz w:val="24"/>
                <w:szCs w:val="24"/>
              </w:rPr>
              <w:t xml:space="preserve">Разработка и внедрение общенациональных стандартов диагностики и лечения ревматических </w:t>
            </w:r>
            <w:r w:rsidR="005A389E" w:rsidRPr="00C7280B">
              <w:rPr>
                <w:rFonts w:ascii="Times New Roman" w:hAnsi="Times New Roman" w:cs="Times New Roman"/>
                <w:i/>
                <w:color w:val="000000"/>
                <w:sz w:val="24"/>
                <w:szCs w:val="24"/>
              </w:rPr>
              <w:t>заболеваний</w:t>
            </w:r>
            <w:r w:rsidRPr="00C7280B">
              <w:rPr>
                <w:rFonts w:ascii="Times New Roman" w:hAnsi="Times New Roman" w:cs="Times New Roman"/>
                <w:i/>
                <w:color w:val="000000"/>
                <w:sz w:val="24"/>
                <w:szCs w:val="24"/>
              </w:rPr>
              <w:t xml:space="preserve"> у детей</w:t>
            </w:r>
          </w:p>
        </w:tc>
      </w:tr>
      <w:tr w:rsidR="00AD1259" w:rsidRPr="00C7280B" w14:paraId="1EA90AC9" w14:textId="77777777" w:rsidTr="009932FE">
        <w:trPr>
          <w:trHeight w:val="148"/>
        </w:trPr>
        <w:tc>
          <w:tcPr>
            <w:tcW w:w="3544" w:type="dxa"/>
            <w:vMerge w:val="restart"/>
            <w:shd w:val="clear" w:color="auto" w:fill="auto"/>
            <w:noWrap/>
          </w:tcPr>
          <w:p w14:paraId="723F021F" w14:textId="1254CF3D" w:rsidR="00AD1259" w:rsidRPr="00C7280B" w:rsidRDefault="00AD1259" w:rsidP="00DB024E">
            <w:pPr>
              <w:spacing w:after="0"/>
              <w:rPr>
                <w:color w:val="000000"/>
              </w:rPr>
            </w:pPr>
            <w:r w:rsidRPr="00C7280B">
              <w:rPr>
                <w:color w:val="000000"/>
                <w:lang w:val="en-US"/>
              </w:rPr>
              <w:t> </w:t>
            </w:r>
          </w:p>
          <w:p w14:paraId="5A9F0158" w14:textId="77777777" w:rsidR="00DB024E" w:rsidRPr="00C7280B" w:rsidRDefault="00DB024E" w:rsidP="008971A2"/>
          <w:p w14:paraId="210370ED" w14:textId="77777777" w:rsidR="00DB024E" w:rsidRPr="00C7280B" w:rsidRDefault="00DB024E" w:rsidP="008971A2"/>
          <w:p w14:paraId="3E4E3700" w14:textId="77777777" w:rsidR="00C7280B" w:rsidRPr="00C7280B" w:rsidRDefault="00C7280B" w:rsidP="008971A2"/>
          <w:p w14:paraId="0ACFC53F" w14:textId="77777777" w:rsidR="00C7280B" w:rsidRPr="00C7280B" w:rsidRDefault="00C7280B" w:rsidP="008971A2"/>
          <w:p w14:paraId="6ED5925D" w14:textId="72722345" w:rsidR="00C7280B" w:rsidRPr="00C7280B" w:rsidRDefault="00C7280B" w:rsidP="008971A2">
            <w:r w:rsidRPr="00C7280B">
              <w:rPr>
                <w:noProof/>
              </w:rPr>
              <w:drawing>
                <wp:inline distT="0" distB="0" distL="0" distR="0" wp14:anchorId="3BA010F6" wp14:editId="4A888564">
                  <wp:extent cx="2095500" cy="2959100"/>
                  <wp:effectExtent l="0" t="0" r="0" b="0"/>
                  <wp:docPr id="1685840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4084" name="Рисунок 168584084"/>
                          <pic:cNvPicPr/>
                        </pic:nvPicPr>
                        <pic:blipFill>
                          <a:blip r:embed="rId7">
                            <a:extLst>
                              <a:ext uri="{28A0092B-C50C-407E-A947-70E740481C1C}">
                                <a14:useLocalDpi xmlns:a14="http://schemas.microsoft.com/office/drawing/2010/main" val="0"/>
                              </a:ext>
                            </a:extLst>
                          </a:blip>
                          <a:stretch>
                            <a:fillRect/>
                          </a:stretch>
                        </pic:blipFill>
                        <pic:spPr>
                          <a:xfrm>
                            <a:off x="0" y="0"/>
                            <a:ext cx="2095500" cy="2959100"/>
                          </a:xfrm>
                          <a:prstGeom prst="rect">
                            <a:avLst/>
                          </a:prstGeom>
                        </pic:spPr>
                      </pic:pic>
                    </a:graphicData>
                  </a:graphic>
                </wp:inline>
              </w:drawing>
            </w:r>
          </w:p>
          <w:p w14:paraId="10295C1D" w14:textId="77777777" w:rsidR="00C7280B" w:rsidRPr="00C7280B" w:rsidRDefault="00C7280B" w:rsidP="008971A2"/>
          <w:p w14:paraId="7641569F" w14:textId="125CE0D1" w:rsidR="00AD1259" w:rsidRPr="00C7280B" w:rsidRDefault="00DB024E" w:rsidP="008971A2">
            <w:r w:rsidRPr="00C7280B">
              <w:t>Н</w:t>
            </w:r>
            <w:r w:rsidR="00AD1259" w:rsidRPr="00C7280B">
              <w:t>аучный руководитель:</w:t>
            </w:r>
          </w:p>
          <w:p w14:paraId="26737D37" w14:textId="0D6157B2" w:rsidR="00AD1259" w:rsidRPr="00C7280B" w:rsidRDefault="00AD1259" w:rsidP="008971A2">
            <w:r w:rsidRPr="00C7280B">
              <w:t>Екатерина Иосифовна Алексеева, д.м.н., профессор, член-корр. РАН (Московская</w:t>
            </w:r>
            <w:r w:rsidRPr="00C7280B">
              <w:rPr>
                <w:lang w:val="en-US"/>
              </w:rPr>
              <w:t> </w:t>
            </w:r>
            <w:r w:rsidRPr="00C7280B">
              <w:t>медицинская академия им. И.М. Сеченова)</w:t>
            </w:r>
          </w:p>
          <w:p w14:paraId="2AFA6D28" w14:textId="3F880832" w:rsidR="00AD1259" w:rsidRPr="00C7280B" w:rsidRDefault="00AD1259" w:rsidP="008971A2"/>
        </w:tc>
        <w:tc>
          <w:tcPr>
            <w:tcW w:w="6379" w:type="dxa"/>
            <w:shd w:val="clear" w:color="auto" w:fill="auto"/>
            <w:noWrap/>
          </w:tcPr>
          <w:p w14:paraId="2EEB9467" w14:textId="726C568C" w:rsidR="00AD1259" w:rsidRPr="00C7280B" w:rsidRDefault="00AD1259" w:rsidP="008971A2">
            <w:pPr>
              <w:spacing w:after="0"/>
              <w:jc w:val="center"/>
              <w:rPr>
                <w:i/>
                <w:color w:val="000000"/>
              </w:rPr>
            </w:pPr>
          </w:p>
        </w:tc>
      </w:tr>
      <w:tr w:rsidR="00AD1259" w:rsidRPr="00C7280B" w14:paraId="22B82E99" w14:textId="77777777" w:rsidTr="009932FE">
        <w:trPr>
          <w:trHeight w:val="802"/>
        </w:trPr>
        <w:tc>
          <w:tcPr>
            <w:tcW w:w="3544" w:type="dxa"/>
            <w:vMerge/>
            <w:noWrap/>
            <w:hideMark/>
          </w:tcPr>
          <w:p w14:paraId="560F92EA" w14:textId="77777777" w:rsidR="00AD1259" w:rsidRPr="00C7280B" w:rsidRDefault="00AD1259" w:rsidP="008971A2">
            <w:pPr>
              <w:spacing w:after="0"/>
              <w:rPr>
                <w:color w:val="000000"/>
              </w:rPr>
            </w:pPr>
          </w:p>
        </w:tc>
        <w:tc>
          <w:tcPr>
            <w:tcW w:w="6379" w:type="dxa"/>
            <w:shd w:val="clear" w:color="auto" w:fill="auto"/>
            <w:noWrap/>
            <w:hideMark/>
          </w:tcPr>
          <w:p w14:paraId="00775A37" w14:textId="36789503" w:rsidR="00AD1259" w:rsidRPr="00C7280B" w:rsidRDefault="00AD1259" w:rsidP="00334CF9">
            <w:pPr>
              <w:spacing w:after="0"/>
            </w:pPr>
            <w:r w:rsidRPr="00C7280B">
              <w:rPr>
                <w:color w:val="000000"/>
              </w:rPr>
              <w:t>Научные интересы</w:t>
            </w:r>
          </w:p>
          <w:p w14:paraId="198B9B42" w14:textId="77777777" w:rsidR="0080724D" w:rsidRPr="00C7280B" w:rsidRDefault="0080724D" w:rsidP="0080724D">
            <w:pPr>
              <w:spacing w:after="0"/>
              <w:rPr>
                <w:i/>
              </w:rPr>
            </w:pPr>
            <w:r w:rsidRPr="00C7280B">
              <w:rPr>
                <w:i/>
              </w:rPr>
              <w:t>Педиатрия, Ревматология:</w:t>
            </w:r>
          </w:p>
          <w:p w14:paraId="55471331" w14:textId="2C73D2D7" w:rsidR="00AD1259" w:rsidRPr="00C7280B" w:rsidRDefault="0080724D" w:rsidP="0080724D">
            <w:pPr>
              <w:spacing w:after="0"/>
              <w:rPr>
                <w:i/>
              </w:rPr>
            </w:pPr>
            <w:r w:rsidRPr="00C7280B">
              <w:rPr>
                <w:i/>
              </w:rPr>
              <w:t xml:space="preserve">принципы персонифицированной патогенетической терапии ревматических заболеваний и моногенных аутовоспалительных синдромов, в т.ч. с применением </w:t>
            </w:r>
            <w:r w:rsidRPr="00C7280B">
              <w:rPr>
                <w:i/>
              </w:rPr>
              <w:lastRenderedPageBreak/>
              <w:t>метода секвенирования генома для генетической верификации диагноза</w:t>
            </w:r>
          </w:p>
        </w:tc>
      </w:tr>
      <w:tr w:rsidR="00AD1259" w:rsidRPr="00C7280B" w14:paraId="65D077B3" w14:textId="77777777" w:rsidTr="00AD1259">
        <w:trPr>
          <w:trHeight w:val="924"/>
        </w:trPr>
        <w:tc>
          <w:tcPr>
            <w:tcW w:w="3544" w:type="dxa"/>
            <w:vMerge/>
            <w:vAlign w:val="center"/>
            <w:hideMark/>
          </w:tcPr>
          <w:p w14:paraId="0EE0575C" w14:textId="77777777" w:rsidR="00AD1259" w:rsidRPr="00C7280B" w:rsidRDefault="00AD1259" w:rsidP="008971A2">
            <w:pPr>
              <w:spacing w:after="0"/>
              <w:rPr>
                <w:color w:val="000000"/>
              </w:rPr>
            </w:pPr>
          </w:p>
        </w:tc>
        <w:tc>
          <w:tcPr>
            <w:tcW w:w="6379" w:type="dxa"/>
            <w:shd w:val="clear" w:color="auto" w:fill="auto"/>
            <w:noWrap/>
            <w:hideMark/>
          </w:tcPr>
          <w:p w14:paraId="4F842B9A" w14:textId="4AF95EB8" w:rsidR="00AD1259" w:rsidRPr="00C7280B" w:rsidRDefault="00AD1259" w:rsidP="008971A2">
            <w:pPr>
              <w:spacing w:after="0"/>
              <w:rPr>
                <w:color w:val="000000"/>
              </w:rPr>
            </w:pPr>
            <w:r w:rsidRPr="00C7280B">
              <w:rPr>
                <w:color w:val="000000"/>
              </w:rPr>
              <w:t xml:space="preserve">Особенности исследования </w:t>
            </w:r>
            <w:r w:rsidRPr="00C7280B">
              <w:rPr>
                <w:i/>
                <w:color w:val="000000"/>
              </w:rPr>
              <w:t>(при наличии)</w:t>
            </w:r>
          </w:p>
          <w:p w14:paraId="67F96625" w14:textId="1468423B" w:rsidR="00AD1259" w:rsidRPr="00C7280B" w:rsidRDefault="00AD1259" w:rsidP="009932FE">
            <w:pPr>
              <w:spacing w:after="0"/>
              <w:rPr>
                <w:i/>
                <w:iCs/>
              </w:rPr>
            </w:pPr>
          </w:p>
        </w:tc>
      </w:tr>
      <w:tr w:rsidR="00AD1259" w:rsidRPr="00C7280B" w14:paraId="11BB8244" w14:textId="77777777" w:rsidTr="009932FE">
        <w:trPr>
          <w:trHeight w:val="997"/>
        </w:trPr>
        <w:tc>
          <w:tcPr>
            <w:tcW w:w="3544" w:type="dxa"/>
            <w:vMerge/>
            <w:vAlign w:val="center"/>
            <w:hideMark/>
          </w:tcPr>
          <w:p w14:paraId="098D06AA" w14:textId="77777777" w:rsidR="00AD1259" w:rsidRPr="00C7280B" w:rsidRDefault="00AD1259" w:rsidP="008971A2">
            <w:pPr>
              <w:spacing w:after="0"/>
              <w:rPr>
                <w:color w:val="000000"/>
              </w:rPr>
            </w:pPr>
          </w:p>
        </w:tc>
        <w:tc>
          <w:tcPr>
            <w:tcW w:w="6379" w:type="dxa"/>
            <w:shd w:val="clear" w:color="auto" w:fill="auto"/>
            <w:noWrap/>
            <w:hideMark/>
          </w:tcPr>
          <w:p w14:paraId="02456C2C" w14:textId="5BB38F62" w:rsidR="00AD1259" w:rsidRPr="00C7280B" w:rsidRDefault="00AD1259" w:rsidP="008971A2">
            <w:pPr>
              <w:spacing w:after="0"/>
              <w:rPr>
                <w:color w:val="000000"/>
              </w:rPr>
            </w:pPr>
            <w:r w:rsidRPr="00C7280B">
              <w:rPr>
                <w:color w:val="000000"/>
              </w:rPr>
              <w:t>Требования потенциального научного руководителя</w:t>
            </w:r>
          </w:p>
          <w:p w14:paraId="65D86AE8" w14:textId="7ECB3122" w:rsidR="00AD1259" w:rsidRPr="00C7280B" w:rsidRDefault="005A389E" w:rsidP="005A389E">
            <w:pPr>
              <w:pStyle w:val="a3"/>
              <w:numPr>
                <w:ilvl w:val="0"/>
                <w:numId w:val="5"/>
              </w:numPr>
              <w:spacing w:after="0"/>
              <w:rPr>
                <w:rFonts w:ascii="Times New Roman" w:hAnsi="Times New Roman" w:cs="Times New Roman"/>
                <w:i/>
                <w:iCs/>
              </w:rPr>
            </w:pPr>
            <w:r w:rsidRPr="00C7280B">
              <w:rPr>
                <w:rFonts w:ascii="Times New Roman" w:hAnsi="Times New Roman" w:cs="Times New Roman"/>
                <w:i/>
                <w:iCs/>
              </w:rPr>
              <w:t>Наличие диплома об окончании ординатуры по специальности «Педиатрия»</w:t>
            </w:r>
          </w:p>
          <w:p w14:paraId="2AE7C90A" w14:textId="4405B511" w:rsidR="005A389E" w:rsidRPr="00C7280B" w:rsidRDefault="005A389E" w:rsidP="005A389E">
            <w:pPr>
              <w:pStyle w:val="a3"/>
              <w:numPr>
                <w:ilvl w:val="0"/>
                <w:numId w:val="5"/>
              </w:numPr>
              <w:spacing w:after="0"/>
              <w:rPr>
                <w:rFonts w:ascii="Times New Roman" w:hAnsi="Times New Roman" w:cs="Times New Roman"/>
                <w:i/>
                <w:iCs/>
              </w:rPr>
            </w:pPr>
            <w:r w:rsidRPr="00C7280B">
              <w:rPr>
                <w:rFonts w:ascii="Times New Roman" w:hAnsi="Times New Roman" w:cs="Times New Roman"/>
                <w:i/>
                <w:iCs/>
              </w:rPr>
              <w:t>Навыки работы с таблицами Excel, Google-таблицами,  Google-формами, первоначальной статистической обработки данных, работа с «большими» данными</w:t>
            </w:r>
          </w:p>
          <w:p w14:paraId="19183F01" w14:textId="0DCA3E1B" w:rsidR="005A389E" w:rsidRPr="00C7280B" w:rsidRDefault="005A389E" w:rsidP="005A389E">
            <w:pPr>
              <w:pStyle w:val="a3"/>
              <w:numPr>
                <w:ilvl w:val="0"/>
                <w:numId w:val="5"/>
              </w:numPr>
              <w:spacing w:after="0"/>
              <w:rPr>
                <w:rFonts w:ascii="Times New Roman" w:hAnsi="Times New Roman" w:cs="Times New Roman"/>
                <w:i/>
                <w:iCs/>
              </w:rPr>
            </w:pPr>
            <w:r w:rsidRPr="00C7280B">
              <w:rPr>
                <w:rFonts w:ascii="Times New Roman" w:hAnsi="Times New Roman" w:cs="Times New Roman"/>
                <w:i/>
                <w:iCs/>
              </w:rPr>
              <w:t>Владение английским языком</w:t>
            </w:r>
          </w:p>
          <w:p w14:paraId="4E1188D7" w14:textId="5CA5F331" w:rsidR="005A389E" w:rsidRPr="00C7280B" w:rsidRDefault="005A389E" w:rsidP="005A389E">
            <w:pPr>
              <w:pStyle w:val="a3"/>
              <w:numPr>
                <w:ilvl w:val="0"/>
                <w:numId w:val="5"/>
              </w:numPr>
              <w:spacing w:after="0"/>
              <w:rPr>
                <w:rFonts w:ascii="Times New Roman" w:hAnsi="Times New Roman" w:cs="Times New Roman"/>
                <w:i/>
                <w:iCs/>
              </w:rPr>
            </w:pPr>
            <w:r w:rsidRPr="00C7280B">
              <w:rPr>
                <w:rFonts w:ascii="Times New Roman" w:hAnsi="Times New Roman" w:cs="Times New Roman"/>
                <w:i/>
                <w:iCs/>
              </w:rPr>
              <w:t>Коммуникативные навыки</w:t>
            </w:r>
          </w:p>
        </w:tc>
      </w:tr>
      <w:tr w:rsidR="00AD1259" w:rsidRPr="00C7280B" w14:paraId="4AF5A1C4" w14:textId="77777777" w:rsidTr="009932FE">
        <w:trPr>
          <w:trHeight w:val="553"/>
        </w:trPr>
        <w:tc>
          <w:tcPr>
            <w:tcW w:w="3544" w:type="dxa"/>
            <w:vMerge/>
            <w:vAlign w:val="center"/>
            <w:hideMark/>
          </w:tcPr>
          <w:p w14:paraId="61811C3B" w14:textId="77777777" w:rsidR="00AD1259" w:rsidRPr="00C7280B" w:rsidRDefault="00AD1259" w:rsidP="008971A2">
            <w:pPr>
              <w:spacing w:after="0"/>
              <w:rPr>
                <w:color w:val="000000"/>
              </w:rPr>
            </w:pPr>
          </w:p>
        </w:tc>
        <w:tc>
          <w:tcPr>
            <w:tcW w:w="6379" w:type="dxa"/>
            <w:shd w:val="clear" w:color="auto" w:fill="auto"/>
            <w:noWrap/>
          </w:tcPr>
          <w:p w14:paraId="2275E4C6" w14:textId="7BAE75A4" w:rsidR="00AD1259" w:rsidRPr="00C7280B" w:rsidRDefault="00AD1259" w:rsidP="00DB024E">
            <w:pPr>
              <w:pStyle w:val="a3"/>
              <w:spacing w:after="0"/>
              <w:ind w:left="360"/>
              <w:rPr>
                <w:rFonts w:ascii="Times New Roman" w:hAnsi="Times New Roman" w:cs="Times New Roman"/>
                <w:i/>
                <w:iCs/>
              </w:rPr>
            </w:pPr>
            <w:r w:rsidRPr="00C7280B">
              <w:rPr>
                <w:rFonts w:ascii="Times New Roman" w:hAnsi="Times New Roman" w:cs="Times New Roman"/>
                <w:i/>
                <w:iCs/>
              </w:rPr>
              <w:t>Оновные публикации потенциального научного руководителя</w:t>
            </w:r>
          </w:p>
          <w:p w14:paraId="29339EDD" w14:textId="77777777" w:rsidR="00AD1259" w:rsidRPr="00C7280B" w:rsidRDefault="00AD1259" w:rsidP="00DB024E">
            <w:pPr>
              <w:pStyle w:val="a3"/>
              <w:spacing w:after="0"/>
              <w:ind w:left="360"/>
              <w:rPr>
                <w:rFonts w:ascii="Times New Roman" w:hAnsi="Times New Roman" w:cs="Times New Roman"/>
                <w:i/>
                <w:iCs/>
              </w:rPr>
            </w:pPr>
            <w:r w:rsidRPr="00C7280B">
              <w:rPr>
                <w:rFonts w:ascii="Times New Roman" w:hAnsi="Times New Roman" w:cs="Times New Roman"/>
                <w:i/>
                <w:iCs/>
              </w:rPr>
              <w:t>Количество публикаций Scopus за последние 5 лет: 40 публикаций</w:t>
            </w:r>
          </w:p>
          <w:p w14:paraId="3C6254FC" w14:textId="77777777" w:rsidR="00AD1259" w:rsidRPr="00C7280B" w:rsidRDefault="00AD1259" w:rsidP="00DB024E">
            <w:pPr>
              <w:pStyle w:val="a3"/>
              <w:spacing w:after="0"/>
              <w:ind w:left="360"/>
              <w:rPr>
                <w:rFonts w:ascii="Times New Roman" w:hAnsi="Times New Roman" w:cs="Times New Roman"/>
                <w:i/>
                <w:iCs/>
              </w:rPr>
            </w:pPr>
            <w:r w:rsidRPr="00C7280B">
              <w:rPr>
                <w:rFonts w:ascii="Times New Roman" w:hAnsi="Times New Roman" w:cs="Times New Roman"/>
                <w:i/>
                <w:iCs/>
              </w:rPr>
              <w:t>Количество публикаций Web of science за последние 5 лет: 57 публикаций</w:t>
            </w:r>
          </w:p>
          <w:p w14:paraId="23631314" w14:textId="77777777" w:rsidR="00AD1259" w:rsidRPr="00C7280B" w:rsidRDefault="00AD1259" w:rsidP="00DB024E">
            <w:pPr>
              <w:pStyle w:val="a3"/>
              <w:spacing w:after="0"/>
              <w:ind w:left="360"/>
              <w:rPr>
                <w:rFonts w:ascii="Times New Roman" w:hAnsi="Times New Roman" w:cs="Times New Roman"/>
                <w:i/>
                <w:iCs/>
              </w:rPr>
            </w:pPr>
            <w:r w:rsidRPr="00C7280B">
              <w:rPr>
                <w:rFonts w:ascii="Times New Roman" w:hAnsi="Times New Roman" w:cs="Times New Roman"/>
                <w:i/>
                <w:iCs/>
              </w:rPr>
              <w:t xml:space="preserve">Наиболее значимые публикации: </w:t>
            </w:r>
          </w:p>
          <w:p w14:paraId="780666DD" w14:textId="77777777" w:rsidR="00DB024E" w:rsidRPr="00C7280B" w:rsidRDefault="00DB024E" w:rsidP="00DB024E">
            <w:pPr>
              <w:pStyle w:val="a3"/>
              <w:numPr>
                <w:ilvl w:val="0"/>
                <w:numId w:val="7"/>
              </w:numPr>
              <w:spacing w:after="0"/>
              <w:rPr>
                <w:rFonts w:ascii="Times New Roman" w:hAnsi="Times New Roman" w:cs="Times New Roman"/>
                <w:i/>
                <w:iCs/>
              </w:rPr>
            </w:pPr>
            <w:r w:rsidRPr="00C7280B">
              <w:rPr>
                <w:rFonts w:ascii="Times New Roman" w:hAnsi="Times New Roman" w:cs="Times New Roman"/>
                <w:i/>
                <w:iCs/>
                <w:lang w:val="en-US"/>
              </w:rPr>
              <w:t xml:space="preserve">Alexeeva E, Krekhova E, Dvoryakovskaya T, Isaeva K, Chomakhidze A, Chistyakova E, Lomakina O, Denisova R, Mamutova A, Fetisova A, Gautier M, Vankova D, Kriulin I, Saygitov R. Efficacy and safety of canakinumab as a second line biologic after tocilizumab treatment failure in children with systemic juvenile idiopathic arthritis: A single-centre cohort study using routinely collected health data. </w:t>
            </w:r>
            <w:r w:rsidRPr="00C7280B">
              <w:rPr>
                <w:rFonts w:ascii="Times New Roman" w:hAnsi="Times New Roman" w:cs="Times New Roman"/>
                <w:i/>
                <w:iCs/>
              </w:rPr>
              <w:t>Front Pediatr. 2023 Feb 22;11:1114207. doi: 10.3389/fped.2023.1114207. PMID: 36911042; PMCID: PMC9992960.</w:t>
            </w:r>
          </w:p>
          <w:p w14:paraId="2ADF9D57" w14:textId="28A523DF" w:rsidR="00AD1259" w:rsidRPr="00C7280B" w:rsidRDefault="00AD1259" w:rsidP="00DB024E">
            <w:pPr>
              <w:pStyle w:val="a3"/>
              <w:numPr>
                <w:ilvl w:val="0"/>
                <w:numId w:val="7"/>
              </w:numPr>
              <w:spacing w:after="0"/>
              <w:rPr>
                <w:rFonts w:ascii="Times New Roman" w:hAnsi="Times New Roman" w:cs="Times New Roman"/>
                <w:i/>
                <w:iCs/>
                <w:lang w:val="en-US"/>
              </w:rPr>
            </w:pPr>
            <w:r w:rsidRPr="00C7280B">
              <w:rPr>
                <w:rFonts w:ascii="Times New Roman" w:hAnsi="Times New Roman" w:cs="Times New Roman"/>
                <w:i/>
                <w:iCs/>
                <w:lang w:val="en-US"/>
              </w:rPr>
              <w:t>Alekseeva E.I., Tepaev R.F., Shilkrot I.Y., et al. COVID-19-associated secondary hemophagocytic lymphohistiocytosis (cytokine storm syndrome) // Annals of the Russian academy of medical sciences. - 2021. - Vol. 76. - N. 1. - P. 51-66. doi: </w:t>
            </w:r>
            <w:hyperlink r:id="rId8" w:history="1">
              <w:r w:rsidRPr="00C7280B">
                <w:rPr>
                  <w:rFonts w:ascii="Times New Roman" w:hAnsi="Times New Roman" w:cs="Times New Roman"/>
                  <w:i/>
                  <w:iCs/>
                  <w:lang w:val="en-US"/>
                </w:rPr>
                <w:t>10.15690/vramn1410</w:t>
              </w:r>
            </w:hyperlink>
          </w:p>
          <w:p w14:paraId="625DF7F4" w14:textId="6A2010A8" w:rsidR="00DB024E" w:rsidRPr="00C7280B" w:rsidRDefault="00DB024E" w:rsidP="00DB024E">
            <w:pPr>
              <w:pStyle w:val="a3"/>
              <w:numPr>
                <w:ilvl w:val="0"/>
                <w:numId w:val="7"/>
              </w:numPr>
              <w:spacing w:after="0"/>
              <w:rPr>
                <w:rFonts w:ascii="Times New Roman" w:hAnsi="Times New Roman" w:cs="Times New Roman"/>
                <w:i/>
                <w:iCs/>
                <w:lang w:val="en-US"/>
              </w:rPr>
            </w:pPr>
            <w:r w:rsidRPr="00C7280B">
              <w:rPr>
                <w:rFonts w:ascii="Times New Roman" w:hAnsi="Times New Roman" w:cs="Times New Roman"/>
                <w:i/>
                <w:iCs/>
                <w:lang w:val="en-US"/>
              </w:rPr>
              <w:t>van Straalen JW, de Roock S, Giancane G, Alexeeva E, Koskova E, Mesa-Del-Castillo Bermejo P, Zulian F, Civino A, Montin D, Wulffraat NM, Ruperto N, Swart JF; Paediatric Rheumatology International Trials Organisation (PRINTO). Prevalence of familial autoimmune diseases in juvenile idiopathic arthritis: results from the international Pharmachild registry. Pediatr Rheumatol Online J. 2022 Nov 18;20(1):103. doi: 10.1186/s12969-022-00762-y. PMID: 36401230; PMCID: PMC9673358.</w:t>
            </w:r>
          </w:p>
          <w:p w14:paraId="2BDB63CF" w14:textId="77777777" w:rsidR="00AD1259" w:rsidRPr="00C7280B" w:rsidRDefault="00AD1259" w:rsidP="00DB024E">
            <w:pPr>
              <w:pStyle w:val="a3"/>
              <w:numPr>
                <w:ilvl w:val="0"/>
                <w:numId w:val="7"/>
              </w:numPr>
              <w:spacing w:after="0"/>
              <w:rPr>
                <w:rFonts w:ascii="Times New Roman" w:hAnsi="Times New Roman" w:cs="Times New Roman"/>
                <w:i/>
                <w:iCs/>
                <w:lang w:val="en-US"/>
              </w:rPr>
            </w:pPr>
            <w:r w:rsidRPr="00C7280B">
              <w:rPr>
                <w:rFonts w:ascii="Times New Roman" w:hAnsi="Times New Roman" w:cs="Times New Roman"/>
                <w:i/>
                <w:iCs/>
                <w:lang w:val="en-US"/>
              </w:rPr>
              <w:t>Krekhova E.A., Alekseeva E.I., Dvoryakovskaya T.M. Predictors of response to therapy with biologicals in children with systemic juvenile idiopathic arthritis. Vopr. prakt. pediatr. (Clinical Practice in Pediatrics). 2021; 16(1): 64–78. (In Russian). DOI: 10.20953/1817-7646-2021-1-64-78</w:t>
            </w:r>
          </w:p>
          <w:p w14:paraId="5440850A" w14:textId="77777777" w:rsidR="00AD1259" w:rsidRPr="00C7280B" w:rsidRDefault="00AD1259" w:rsidP="00DB024E">
            <w:pPr>
              <w:pStyle w:val="a3"/>
              <w:numPr>
                <w:ilvl w:val="0"/>
                <w:numId w:val="7"/>
              </w:numPr>
              <w:spacing w:after="0"/>
              <w:rPr>
                <w:rFonts w:ascii="Times New Roman" w:hAnsi="Times New Roman" w:cs="Times New Roman"/>
                <w:i/>
                <w:iCs/>
                <w:lang w:val="en-US"/>
              </w:rPr>
            </w:pPr>
            <w:r w:rsidRPr="00C7280B">
              <w:rPr>
                <w:rFonts w:ascii="Times New Roman" w:hAnsi="Times New Roman" w:cs="Times New Roman"/>
                <w:i/>
                <w:iCs/>
              </w:rPr>
              <w:t xml:space="preserve">Vankova D.D., Alekseeva E.I., Dvoryakovskaya T.M., Denisova R.V., Radygina T.V., Zubkova I.V., Brzhozovskaya E.A., Semikina E.L., Tkachenko N.E., Lomakina O.L., Orlova Ya.O., Kurdup M.K. Activity of systemic juvenile idiopathic arthritis in children immunized with pneumococcal 13-valent conjugate vaccine: prospective cohort study. </w:t>
            </w:r>
            <w:r w:rsidRPr="00C7280B">
              <w:rPr>
                <w:rFonts w:ascii="Times New Roman" w:hAnsi="Times New Roman" w:cs="Times New Roman"/>
                <w:i/>
                <w:iCs/>
                <w:lang w:val="en-US"/>
              </w:rPr>
              <w:t xml:space="preserve">Vopr. prakt. pediatr. (Clinical Practice </w:t>
            </w:r>
            <w:r w:rsidRPr="00C7280B">
              <w:rPr>
                <w:rFonts w:ascii="Times New Roman" w:hAnsi="Times New Roman" w:cs="Times New Roman"/>
                <w:i/>
                <w:iCs/>
                <w:lang w:val="en-US"/>
              </w:rPr>
              <w:lastRenderedPageBreak/>
              <w:t>in Pediatrics). 2020; 15(5): 40–50. (In Russian). DOI: 10.20953/1817-7646-2020-5-40-50</w:t>
            </w:r>
          </w:p>
          <w:p w14:paraId="2E4C94CF" w14:textId="4A3CB88F" w:rsidR="00AD1259" w:rsidRPr="00C7280B" w:rsidRDefault="00AD1259" w:rsidP="00DB024E">
            <w:pPr>
              <w:pStyle w:val="a3"/>
              <w:numPr>
                <w:ilvl w:val="0"/>
                <w:numId w:val="7"/>
              </w:numPr>
              <w:spacing w:after="0"/>
              <w:rPr>
                <w:rFonts w:ascii="Times New Roman" w:hAnsi="Times New Roman" w:cs="Times New Roman"/>
                <w:iCs/>
                <w:lang w:val="en-US"/>
              </w:rPr>
            </w:pPr>
            <w:r w:rsidRPr="00C7280B">
              <w:rPr>
                <w:rFonts w:ascii="Times New Roman" w:hAnsi="Times New Roman" w:cs="Times New Roman"/>
                <w:i/>
                <w:iCs/>
                <w:lang w:val="en-US"/>
              </w:rPr>
              <w:t>Quartier P, Alexeeva E, Constantin T, Chasnyk V, Wulffraat N, Palmblad K, Wouters C, I Brunner H, Marzan K, Schneider R, Horneff G, Martini A, Anton J, Wei X, Slade A, Ruperto N, Abrams K; Paediatric Rheumatology International Trials Organisation and the Pediatric Rheumatology Collaborative Study Group. Tapering Canakinumab Monotherapy in Patients With Systemic Juvenile Idiopathic Arthritis in Clinical Remission: Results From a Phase IIIb/IV Open-Label, Randomized Study. Arthritis Rheumatol. 2021 Feb;73(2):336-346. doi: 10.1002/art.41488. Epub 2020 Dec 11. PMID: 32783351; PMCID: PMC7898684</w:t>
            </w:r>
          </w:p>
        </w:tc>
      </w:tr>
      <w:tr w:rsidR="00AD1259" w:rsidRPr="00C7280B" w14:paraId="26D5E71A" w14:textId="77777777" w:rsidTr="009932FE">
        <w:trPr>
          <w:trHeight w:val="553"/>
        </w:trPr>
        <w:tc>
          <w:tcPr>
            <w:tcW w:w="3544" w:type="dxa"/>
            <w:vAlign w:val="center"/>
          </w:tcPr>
          <w:p w14:paraId="413ECADF" w14:textId="77777777" w:rsidR="00AD1259" w:rsidRPr="00C7280B" w:rsidRDefault="00AD1259" w:rsidP="008971A2">
            <w:pPr>
              <w:spacing w:after="0"/>
              <w:rPr>
                <w:color w:val="000000"/>
                <w:lang w:val="en-US"/>
              </w:rPr>
            </w:pPr>
          </w:p>
        </w:tc>
        <w:tc>
          <w:tcPr>
            <w:tcW w:w="6379" w:type="dxa"/>
            <w:shd w:val="clear" w:color="auto" w:fill="auto"/>
            <w:noWrap/>
          </w:tcPr>
          <w:p w14:paraId="770F97B3" w14:textId="3FAD1F86" w:rsidR="00AD1259" w:rsidRPr="00C7280B" w:rsidRDefault="00AD1259" w:rsidP="008971A2">
            <w:pPr>
              <w:spacing w:after="0"/>
              <w:rPr>
                <w:color w:val="000000"/>
              </w:rPr>
            </w:pPr>
            <w:r w:rsidRPr="00C7280B">
              <w:rPr>
                <w:color w:val="000000"/>
              </w:rPr>
              <w:t xml:space="preserve">Результаты интеллектуальной деятельности </w:t>
            </w:r>
            <w:r w:rsidRPr="00C7280B">
              <w:rPr>
                <w:i/>
                <w:color w:val="000000"/>
              </w:rPr>
              <w:t>(при наличии)</w:t>
            </w:r>
          </w:p>
          <w:p w14:paraId="3ABAEE92" w14:textId="713D9486" w:rsidR="00AD1259" w:rsidRPr="00C7280B" w:rsidRDefault="00AD1259" w:rsidP="00DB024E">
            <w:pPr>
              <w:pStyle w:val="a3"/>
              <w:numPr>
                <w:ilvl w:val="0"/>
                <w:numId w:val="8"/>
              </w:numPr>
              <w:spacing w:after="0"/>
              <w:rPr>
                <w:rFonts w:ascii="Times New Roman" w:hAnsi="Times New Roman" w:cs="Times New Roman"/>
                <w:i/>
                <w:iCs/>
              </w:rPr>
            </w:pPr>
            <w:r w:rsidRPr="00C7280B">
              <w:rPr>
                <w:rFonts w:ascii="Times New Roman" w:hAnsi="Times New Roman" w:cs="Times New Roman"/>
                <w:i/>
                <w:iCs/>
              </w:rPr>
              <w:t>Индекс Хирша 13</w:t>
            </w:r>
          </w:p>
          <w:p w14:paraId="305F1BAD" w14:textId="102BE928" w:rsidR="00AD1259" w:rsidRPr="00C7280B" w:rsidRDefault="00DB024E" w:rsidP="00DB024E">
            <w:pPr>
              <w:pStyle w:val="a3"/>
              <w:numPr>
                <w:ilvl w:val="0"/>
                <w:numId w:val="8"/>
              </w:numPr>
              <w:spacing w:after="0"/>
              <w:rPr>
                <w:rFonts w:ascii="Times New Roman" w:hAnsi="Times New Roman" w:cs="Times New Roman"/>
                <w:i/>
                <w:iCs/>
              </w:rPr>
            </w:pPr>
            <w:r w:rsidRPr="00C7280B">
              <w:rPr>
                <w:rFonts w:ascii="Times New Roman" w:hAnsi="Times New Roman" w:cs="Times New Roman"/>
                <w:i/>
                <w:iCs/>
              </w:rPr>
              <w:t>Р</w:t>
            </w:r>
            <w:r w:rsidR="00AD1259" w:rsidRPr="00C7280B">
              <w:rPr>
                <w:rFonts w:ascii="Times New Roman" w:hAnsi="Times New Roman" w:cs="Times New Roman"/>
                <w:i/>
                <w:iCs/>
              </w:rPr>
              <w:t xml:space="preserve">азработан алгоритм дифференцированного назначения генно-инженерных биологических препаратов при ревматических болезнях у детей. Разработаны 30 стандартов по оказанию медицинской помощи больным, страдающим ревматическими болезнями, Порядок оказания медицинской помощи детям с ревматическими болезнями, клинические рекомендации по профилю детская ревматология </w:t>
            </w:r>
          </w:p>
          <w:p w14:paraId="4BB57E02" w14:textId="0349F708" w:rsidR="00AD1259" w:rsidRPr="00C7280B" w:rsidRDefault="00AD1259" w:rsidP="00DB024E">
            <w:pPr>
              <w:pStyle w:val="a3"/>
              <w:numPr>
                <w:ilvl w:val="0"/>
                <w:numId w:val="8"/>
              </w:numPr>
              <w:spacing w:after="0"/>
              <w:rPr>
                <w:rFonts w:ascii="Times New Roman" w:hAnsi="Times New Roman" w:cs="Times New Roman"/>
                <w:i/>
                <w:iCs/>
              </w:rPr>
            </w:pPr>
            <w:r w:rsidRPr="00C7280B">
              <w:rPr>
                <w:rFonts w:ascii="Times New Roman" w:hAnsi="Times New Roman" w:cs="Times New Roman"/>
                <w:i/>
                <w:iCs/>
              </w:rPr>
              <w:t>Специалист в области детской ревматологии, автор более 452 научных работ, из них 12 монографий, 11 глав в руководствах; более 100 статей в рецензируемых журналах; более 20 публикаций в зарубежных журналах; атласа «Детская ревматология»</w:t>
            </w:r>
          </w:p>
          <w:p w14:paraId="0CAFFB7B" w14:textId="77777777" w:rsidR="00AD1259" w:rsidRPr="00C7280B" w:rsidRDefault="00AD1259" w:rsidP="00DB024E">
            <w:pPr>
              <w:pStyle w:val="a3"/>
              <w:numPr>
                <w:ilvl w:val="0"/>
                <w:numId w:val="8"/>
              </w:numPr>
              <w:spacing w:after="0"/>
              <w:rPr>
                <w:rFonts w:ascii="Times New Roman" w:hAnsi="Times New Roman" w:cs="Times New Roman"/>
                <w:i/>
                <w:iCs/>
              </w:rPr>
            </w:pPr>
            <w:r w:rsidRPr="00C7280B">
              <w:rPr>
                <w:rFonts w:ascii="Times New Roman" w:hAnsi="Times New Roman" w:cs="Times New Roman"/>
                <w:i/>
                <w:iCs/>
              </w:rPr>
              <w:t>В 2008 г. монография «Ювенильный ревматоидный артрит» Е.И. Алексеевой и П.Ф. Литвицкого признана Лучшей книгой года, в 2009 г. она награждена Дипломом премии РАМН им. А.А. Богомольца за лучшую научную работу.</w:t>
            </w:r>
          </w:p>
          <w:p w14:paraId="20F9B65E" w14:textId="7F9C5129" w:rsidR="00AD1259" w:rsidRPr="00C7280B" w:rsidRDefault="00AD1259" w:rsidP="00DB024E">
            <w:pPr>
              <w:pStyle w:val="a3"/>
              <w:numPr>
                <w:ilvl w:val="0"/>
                <w:numId w:val="8"/>
              </w:numPr>
              <w:spacing w:after="0"/>
              <w:rPr>
                <w:rFonts w:ascii="Times New Roman" w:hAnsi="Times New Roman" w:cs="Times New Roman"/>
                <w:color w:val="000000"/>
                <w:sz w:val="24"/>
                <w:szCs w:val="24"/>
              </w:rPr>
            </w:pPr>
            <w:r w:rsidRPr="00C7280B">
              <w:rPr>
                <w:rFonts w:ascii="Times New Roman" w:hAnsi="Times New Roman" w:cs="Times New Roman"/>
                <w:i/>
                <w:iCs/>
              </w:rPr>
              <w:t>Под научным руководством защищено 20 кандидатских и 2 докторские диссертации</w:t>
            </w:r>
          </w:p>
        </w:tc>
      </w:tr>
    </w:tbl>
    <w:p w14:paraId="0AF57A49" w14:textId="52E74FD0" w:rsidR="00C6461A" w:rsidRPr="00C7280B" w:rsidRDefault="00C6461A">
      <w:pPr>
        <w:spacing w:after="0"/>
        <w:jc w:val="left"/>
      </w:pPr>
    </w:p>
    <w:sectPr w:rsidR="00C6461A" w:rsidRPr="00C7280B" w:rsidSect="00C55CAC">
      <w:footerReference w:type="even" r:id="rId9"/>
      <w:footerReference w:type="default" r:id="rId10"/>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B382" w14:textId="77777777" w:rsidR="002E6133" w:rsidRDefault="002E6133">
      <w:pPr>
        <w:spacing w:after="0"/>
      </w:pPr>
      <w:r>
        <w:separator/>
      </w:r>
    </w:p>
  </w:endnote>
  <w:endnote w:type="continuationSeparator" w:id="0">
    <w:p w14:paraId="6726DE6D" w14:textId="77777777" w:rsidR="002E6133" w:rsidRDefault="002E61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DB024E" w:rsidRDefault="00DB024E" w:rsidP="00AD1259">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DB024E" w:rsidRDefault="00DB024E" w:rsidP="00AD125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21EFD6E6" w:rsidR="00DB024E" w:rsidRDefault="00DB024E" w:rsidP="00AD1259">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D14A63">
          <w:rPr>
            <w:rStyle w:val="a6"/>
            <w:noProof/>
          </w:rPr>
          <w:t>4</w:t>
        </w:r>
        <w:r>
          <w:rPr>
            <w:rStyle w:val="a6"/>
          </w:rPr>
          <w:fldChar w:fldCharType="end"/>
        </w:r>
      </w:p>
    </w:sdtContent>
  </w:sdt>
  <w:p w14:paraId="360368FD" w14:textId="77777777" w:rsidR="00DB024E" w:rsidRDefault="00DB024E" w:rsidP="00AD125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34A" w14:textId="77777777" w:rsidR="002E6133" w:rsidRDefault="002E6133">
      <w:pPr>
        <w:spacing w:after="0"/>
      </w:pPr>
      <w:r>
        <w:separator/>
      </w:r>
    </w:p>
  </w:footnote>
  <w:footnote w:type="continuationSeparator" w:id="0">
    <w:p w14:paraId="0E11DD1B" w14:textId="77777777" w:rsidR="002E6133" w:rsidRDefault="002E61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62A2A"/>
    <w:multiLevelType w:val="hybridMultilevel"/>
    <w:tmpl w:val="DDF24B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7E1B93"/>
    <w:multiLevelType w:val="hybridMultilevel"/>
    <w:tmpl w:val="F9944A0E"/>
    <w:lvl w:ilvl="0" w:tplc="BCE081D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1806D51"/>
    <w:multiLevelType w:val="hybridMultilevel"/>
    <w:tmpl w:val="F3DCD79C"/>
    <w:lvl w:ilvl="0" w:tplc="BCE081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695705"/>
    <w:multiLevelType w:val="hybridMultilevel"/>
    <w:tmpl w:val="ABFA37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5994237"/>
    <w:multiLevelType w:val="hybridMultilevel"/>
    <w:tmpl w:val="DDF24B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7FC6495"/>
    <w:multiLevelType w:val="hybridMultilevel"/>
    <w:tmpl w:val="ABFA37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4283E4E"/>
    <w:multiLevelType w:val="hybridMultilevel"/>
    <w:tmpl w:val="CA325CEE"/>
    <w:lvl w:ilvl="0" w:tplc="7B9C9C1E">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767DFC"/>
    <w:multiLevelType w:val="hybridMultilevel"/>
    <w:tmpl w:val="DDF24B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852984939">
    <w:abstractNumId w:val="0"/>
  </w:num>
  <w:num w:numId="2" w16cid:durableId="797727464">
    <w:abstractNumId w:val="3"/>
  </w:num>
  <w:num w:numId="3" w16cid:durableId="376440506">
    <w:abstractNumId w:val="6"/>
  </w:num>
  <w:num w:numId="4" w16cid:durableId="1093821757">
    <w:abstractNumId w:val="2"/>
  </w:num>
  <w:num w:numId="5" w16cid:durableId="1998917286">
    <w:abstractNumId w:val="8"/>
  </w:num>
  <w:num w:numId="6" w16cid:durableId="498237197">
    <w:abstractNumId w:val="7"/>
  </w:num>
  <w:num w:numId="7" w16cid:durableId="1586304562">
    <w:abstractNumId w:val="5"/>
  </w:num>
  <w:num w:numId="8" w16cid:durableId="1708949298">
    <w:abstractNumId w:val="1"/>
  </w:num>
  <w:num w:numId="9" w16cid:durableId="1366517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DB"/>
    <w:rsid w:val="000021A0"/>
    <w:rsid w:val="00032415"/>
    <w:rsid w:val="00062064"/>
    <w:rsid w:val="0007348D"/>
    <w:rsid w:val="00080363"/>
    <w:rsid w:val="00084771"/>
    <w:rsid w:val="000C6EB3"/>
    <w:rsid w:val="000F753D"/>
    <w:rsid w:val="001A2AC1"/>
    <w:rsid w:val="001A2BCE"/>
    <w:rsid w:val="001B3954"/>
    <w:rsid w:val="001E3C4E"/>
    <w:rsid w:val="00200ADC"/>
    <w:rsid w:val="00236C0D"/>
    <w:rsid w:val="00266DBA"/>
    <w:rsid w:val="002955D1"/>
    <w:rsid w:val="002E6133"/>
    <w:rsid w:val="00305558"/>
    <w:rsid w:val="00334CF9"/>
    <w:rsid w:val="00383611"/>
    <w:rsid w:val="00393AB6"/>
    <w:rsid w:val="003A0C7D"/>
    <w:rsid w:val="003E7976"/>
    <w:rsid w:val="003F58AD"/>
    <w:rsid w:val="00415F4A"/>
    <w:rsid w:val="00430381"/>
    <w:rsid w:val="00432894"/>
    <w:rsid w:val="00443334"/>
    <w:rsid w:val="00462509"/>
    <w:rsid w:val="00477A8D"/>
    <w:rsid w:val="004A1BB4"/>
    <w:rsid w:val="004D0B99"/>
    <w:rsid w:val="00511493"/>
    <w:rsid w:val="00574174"/>
    <w:rsid w:val="005A0E05"/>
    <w:rsid w:val="005A389E"/>
    <w:rsid w:val="005C5748"/>
    <w:rsid w:val="00604884"/>
    <w:rsid w:val="00612B32"/>
    <w:rsid w:val="00614D2B"/>
    <w:rsid w:val="006871A0"/>
    <w:rsid w:val="006D1128"/>
    <w:rsid w:val="007501B2"/>
    <w:rsid w:val="00784EB3"/>
    <w:rsid w:val="00791150"/>
    <w:rsid w:val="00794773"/>
    <w:rsid w:val="007D57B1"/>
    <w:rsid w:val="007F07F2"/>
    <w:rsid w:val="0080614F"/>
    <w:rsid w:val="0080724D"/>
    <w:rsid w:val="00843783"/>
    <w:rsid w:val="00877AD3"/>
    <w:rsid w:val="008971A2"/>
    <w:rsid w:val="008D0736"/>
    <w:rsid w:val="008D20D8"/>
    <w:rsid w:val="008F6B77"/>
    <w:rsid w:val="009932FE"/>
    <w:rsid w:val="00A222F3"/>
    <w:rsid w:val="00A3702F"/>
    <w:rsid w:val="00A85F6F"/>
    <w:rsid w:val="00AC00ED"/>
    <w:rsid w:val="00AD01EB"/>
    <w:rsid w:val="00AD1259"/>
    <w:rsid w:val="00AE2D77"/>
    <w:rsid w:val="00B30B12"/>
    <w:rsid w:val="00B572F5"/>
    <w:rsid w:val="00B60CF3"/>
    <w:rsid w:val="00B756DB"/>
    <w:rsid w:val="00B82BE2"/>
    <w:rsid w:val="00BD57C7"/>
    <w:rsid w:val="00C55CAC"/>
    <w:rsid w:val="00C6461A"/>
    <w:rsid w:val="00C7280B"/>
    <w:rsid w:val="00CB7DA5"/>
    <w:rsid w:val="00CC23DD"/>
    <w:rsid w:val="00CC4E04"/>
    <w:rsid w:val="00CD07D1"/>
    <w:rsid w:val="00CD3349"/>
    <w:rsid w:val="00CE5F7C"/>
    <w:rsid w:val="00D012D4"/>
    <w:rsid w:val="00D14A63"/>
    <w:rsid w:val="00DA4797"/>
    <w:rsid w:val="00DA61AA"/>
    <w:rsid w:val="00DB024E"/>
    <w:rsid w:val="00DD0582"/>
    <w:rsid w:val="00E41FC2"/>
    <w:rsid w:val="00EB2835"/>
    <w:rsid w:val="00ED1437"/>
    <w:rsid w:val="00F31B6E"/>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28E2E354-F0CF-BB41-96D8-AB16C6E4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
    <w:name w:val="FollowedHyperlink"/>
    <w:basedOn w:val="a0"/>
    <w:uiPriority w:val="99"/>
    <w:semiHidden/>
    <w:unhideWhenUsed/>
    <w:rsid w:val="00CE5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883565586">
      <w:bodyDiv w:val="1"/>
      <w:marLeft w:val="0"/>
      <w:marRight w:val="0"/>
      <w:marTop w:val="0"/>
      <w:marBottom w:val="0"/>
      <w:divBdr>
        <w:top w:val="none" w:sz="0" w:space="0" w:color="auto"/>
        <w:left w:val="none" w:sz="0" w:space="0" w:color="auto"/>
        <w:bottom w:val="none" w:sz="0" w:space="0" w:color="auto"/>
        <w:right w:val="none" w:sz="0" w:space="0" w:color="auto"/>
      </w:divBdr>
      <w:divsChild>
        <w:div w:id="212730857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95161931">
      <w:bodyDiv w:val="1"/>
      <w:marLeft w:val="0"/>
      <w:marRight w:val="0"/>
      <w:marTop w:val="0"/>
      <w:marBottom w:val="0"/>
      <w:divBdr>
        <w:top w:val="none" w:sz="0" w:space="0" w:color="auto"/>
        <w:left w:val="none" w:sz="0" w:space="0" w:color="auto"/>
        <w:bottom w:val="none" w:sz="0" w:space="0" w:color="auto"/>
        <w:right w:val="none" w:sz="0" w:space="0" w:color="auto"/>
      </w:divBdr>
    </w:div>
    <w:div w:id="1284650446">
      <w:bodyDiv w:val="1"/>
      <w:marLeft w:val="0"/>
      <w:marRight w:val="0"/>
      <w:marTop w:val="0"/>
      <w:marBottom w:val="0"/>
      <w:divBdr>
        <w:top w:val="none" w:sz="0" w:space="0" w:color="auto"/>
        <w:left w:val="none" w:sz="0" w:space="0" w:color="auto"/>
        <w:bottom w:val="none" w:sz="0" w:space="0" w:color="auto"/>
        <w:right w:val="none" w:sz="0" w:space="0" w:color="auto"/>
      </w:divBdr>
    </w:div>
    <w:div w:id="1831094874">
      <w:bodyDiv w:val="1"/>
      <w:marLeft w:val="0"/>
      <w:marRight w:val="0"/>
      <w:marTop w:val="0"/>
      <w:marBottom w:val="0"/>
      <w:divBdr>
        <w:top w:val="none" w:sz="0" w:space="0" w:color="auto"/>
        <w:left w:val="none" w:sz="0" w:space="0" w:color="auto"/>
        <w:bottom w:val="none" w:sz="0" w:space="0" w:color="auto"/>
        <w:right w:val="none" w:sz="0" w:space="0" w:color="auto"/>
      </w:divBdr>
    </w:div>
    <w:div w:id="1877935652">
      <w:bodyDiv w:val="1"/>
      <w:marLeft w:val="0"/>
      <w:marRight w:val="0"/>
      <w:marTop w:val="0"/>
      <w:marBottom w:val="0"/>
      <w:divBdr>
        <w:top w:val="none" w:sz="0" w:space="0" w:color="auto"/>
        <w:left w:val="none" w:sz="0" w:space="0" w:color="auto"/>
        <w:bottom w:val="none" w:sz="0" w:space="0" w:color="auto"/>
        <w:right w:val="none" w:sz="0" w:space="0" w:color="auto"/>
      </w:divBdr>
    </w:div>
    <w:div w:id="1923099890">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690/vramn141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Язев</dc:creator>
  <cp:lastModifiedBy>Victoria Morozova</cp:lastModifiedBy>
  <cp:revision>4</cp:revision>
  <dcterms:created xsi:type="dcterms:W3CDTF">2023-09-29T17:25:00Z</dcterms:created>
  <dcterms:modified xsi:type="dcterms:W3CDTF">2023-09-29T17:28:00Z</dcterms:modified>
</cp:coreProperties>
</file>