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77" w:rsidRDefault="00974A77" w:rsidP="00974A77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974A77" w:rsidRDefault="00974A77" w:rsidP="00974A77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974A77" w:rsidRDefault="00974A77" w:rsidP="00974A7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974A77" w:rsidRDefault="00974A77" w:rsidP="00974A7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974A77" w:rsidRDefault="00974A77" w:rsidP="00974A7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974A77" w:rsidRDefault="00974A77" w:rsidP="00974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A77" w:rsidRDefault="00974A77" w:rsidP="00974A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74A77" w:rsidRDefault="00974A77" w:rsidP="00974A77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974A77" w:rsidRDefault="00974A77" w:rsidP="00974A7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>Доказательная медицина: принципы и методология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</w:p>
    <w:bookmarkEnd w:id="0"/>
    <w:p w:rsidR="00974A77" w:rsidRDefault="00974A77" w:rsidP="00974A7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наименование  дисциплины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974A77" w:rsidRDefault="00974A77" w:rsidP="00974A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74A77" w:rsidRDefault="00974A77" w:rsidP="00974A77">
      <w:pPr>
        <w:widowControl w:val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31.05.01 Лечебное дело </w:t>
      </w:r>
    </w:p>
    <w:p w:rsidR="00974A77" w:rsidRPr="00AB2A74" w:rsidRDefault="00974A77" w:rsidP="00974A77">
      <w:pPr>
        <w:widowControl w:val="0"/>
        <w:tabs>
          <w:tab w:val="clear" w:pos="708"/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>
        <w:rPr>
          <w:rFonts w:ascii="Times New Roman" w:hAnsi="Times New Roman"/>
          <w:bCs/>
          <w:sz w:val="24"/>
          <w:szCs w:val="24"/>
          <w:u w:val="single"/>
        </w:rPr>
        <w:t>__________2________</w:t>
      </w:r>
      <w:r>
        <w:rPr>
          <w:rFonts w:ascii="Times New Roman" w:hAnsi="Times New Roman"/>
          <w:bCs/>
          <w:sz w:val="24"/>
          <w:szCs w:val="24"/>
        </w:rPr>
        <w:t xml:space="preserve"> зачетные единицы</w:t>
      </w:r>
    </w:p>
    <w:p w:rsidR="00974A77" w:rsidRPr="00AB2A74" w:rsidRDefault="00974A77" w:rsidP="00974A77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74">
        <w:rPr>
          <w:rFonts w:ascii="Times New Roman" w:hAnsi="Times New Roman"/>
          <w:sz w:val="24"/>
          <w:szCs w:val="24"/>
        </w:rPr>
        <w:t>В результате изучения дисциплины студенты должны:</w:t>
      </w:r>
    </w:p>
    <w:p w:rsidR="00974A77" w:rsidRPr="00AB2A74" w:rsidRDefault="00974A77" w:rsidP="00974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74">
        <w:rPr>
          <w:rFonts w:ascii="Times New Roman" w:hAnsi="Times New Roman"/>
          <w:sz w:val="24"/>
          <w:szCs w:val="24"/>
        </w:rPr>
        <w:t>Знать:</w:t>
      </w:r>
    </w:p>
    <w:p w:rsidR="00974A77" w:rsidRPr="00AB2A74" w:rsidRDefault="00974A77" w:rsidP="00974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74">
        <w:rPr>
          <w:rFonts w:ascii="Times New Roman" w:hAnsi="Times New Roman"/>
          <w:sz w:val="24"/>
          <w:szCs w:val="24"/>
        </w:rPr>
        <w:t>методику расчета показателей медицинской статистики; основы применения статистического метода в медицинских исследованиях, использование статистических показателей при оценке состояния здоровья населения и деятельности медицинской организации;</w:t>
      </w:r>
    </w:p>
    <w:p w:rsidR="00974A77" w:rsidRPr="00AB2A74" w:rsidRDefault="00974A77" w:rsidP="00974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2A74">
        <w:rPr>
          <w:rFonts w:ascii="Times New Roman" w:hAnsi="Times New Roman"/>
          <w:sz w:val="24"/>
          <w:szCs w:val="24"/>
        </w:rPr>
        <w:t xml:space="preserve">показатели здоровья населения, факторы, формирующие здоровье человека (экологические, профессиональные, природно-климатические, эндемические, социальные, эпидемиологические, </w:t>
      </w:r>
      <w:proofErr w:type="spellStart"/>
      <w:r w:rsidRPr="00AB2A74">
        <w:rPr>
          <w:rFonts w:ascii="Times New Roman" w:hAnsi="Times New Roman"/>
          <w:sz w:val="24"/>
          <w:szCs w:val="24"/>
        </w:rPr>
        <w:t>психо</w:t>
      </w:r>
      <w:proofErr w:type="spellEnd"/>
      <w:r w:rsidRPr="00AB2A74">
        <w:rPr>
          <w:rFonts w:ascii="Times New Roman" w:hAnsi="Times New Roman"/>
          <w:sz w:val="24"/>
          <w:szCs w:val="24"/>
        </w:rPr>
        <w:t>-эмоциональные, профессиональные, генетические);</w:t>
      </w:r>
      <w:proofErr w:type="gramEnd"/>
    </w:p>
    <w:p w:rsidR="00974A77" w:rsidRPr="00AB2A74" w:rsidRDefault="00974A77" w:rsidP="00974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74">
        <w:rPr>
          <w:rFonts w:ascii="Times New Roman" w:hAnsi="Times New Roman"/>
          <w:sz w:val="24"/>
          <w:szCs w:val="24"/>
        </w:rPr>
        <w:t>Уметь:</w:t>
      </w:r>
    </w:p>
    <w:p w:rsidR="00974A77" w:rsidRPr="00AB2A74" w:rsidRDefault="00974A77" w:rsidP="00974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74">
        <w:rPr>
          <w:rFonts w:ascii="Times New Roman" w:hAnsi="Times New Roman"/>
          <w:sz w:val="24"/>
          <w:szCs w:val="24"/>
        </w:rPr>
        <w:t>планировать, анализировать и оценивать качество медицинской помощи, состояние здоровья населения и влияние на него факторов окружающей и производственной среды;</w:t>
      </w:r>
    </w:p>
    <w:p w:rsidR="00974A77" w:rsidRPr="00AB2A74" w:rsidRDefault="00974A77" w:rsidP="00974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74">
        <w:rPr>
          <w:rFonts w:ascii="Times New Roman" w:hAnsi="Times New Roman"/>
          <w:sz w:val="24"/>
          <w:szCs w:val="24"/>
        </w:rPr>
        <w:t>Владеть:</w:t>
      </w:r>
    </w:p>
    <w:p w:rsidR="00974A77" w:rsidRPr="00AB2A74" w:rsidRDefault="00974A77" w:rsidP="00974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74">
        <w:rPr>
          <w:rFonts w:ascii="Times New Roman" w:hAnsi="Times New Roman"/>
          <w:sz w:val="24"/>
          <w:szCs w:val="24"/>
        </w:rPr>
        <w:t>правильным ведением медицинской документации;</w:t>
      </w:r>
    </w:p>
    <w:p w:rsidR="00974A77" w:rsidRPr="00AB2A74" w:rsidRDefault="00974A77" w:rsidP="00974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74">
        <w:rPr>
          <w:rFonts w:ascii="Times New Roman" w:hAnsi="Times New Roman"/>
          <w:sz w:val="24"/>
          <w:szCs w:val="24"/>
        </w:rPr>
        <w:t>консолидирующими показателями, характеризующими степень развития экономики здравоохранения, методикой расчета показателей медицинской статистики.</w:t>
      </w:r>
    </w:p>
    <w:p w:rsidR="00974A77" w:rsidRPr="00AB2A74" w:rsidRDefault="00974A77" w:rsidP="00974A77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4A77" w:rsidRPr="00AB2A74" w:rsidRDefault="00974A77" w:rsidP="00974A77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2A74">
        <w:rPr>
          <w:rFonts w:ascii="Times New Roman" w:hAnsi="Times New Roman"/>
          <w:b/>
          <w:bCs/>
          <w:sz w:val="24"/>
          <w:szCs w:val="24"/>
        </w:rPr>
        <w:t>Место дисциплины в структуре ООП:</w:t>
      </w:r>
    </w:p>
    <w:p w:rsidR="00974A77" w:rsidRPr="00AB2A74" w:rsidRDefault="00974A77" w:rsidP="00974A77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4A77" w:rsidRPr="00AB2A74" w:rsidRDefault="00974A77" w:rsidP="00974A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74">
        <w:rPr>
          <w:rFonts w:ascii="Times New Roman" w:hAnsi="Times New Roman"/>
          <w:sz w:val="24"/>
          <w:szCs w:val="24"/>
        </w:rPr>
        <w:t xml:space="preserve">Дисциплина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AB2A74"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блока</w:t>
      </w:r>
      <w:r w:rsidRPr="00AB2A74">
        <w:rPr>
          <w:rFonts w:ascii="Times New Roman" w:hAnsi="Times New Roman"/>
          <w:sz w:val="24"/>
          <w:szCs w:val="24"/>
        </w:rPr>
        <w:t xml:space="preserve"> дисциплин по специальности  «Лечебное дело». </w:t>
      </w:r>
    </w:p>
    <w:p w:rsidR="00974A77" w:rsidRPr="00AB2A74" w:rsidRDefault="00974A77" w:rsidP="00974A7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4A77" w:rsidRPr="00AB2A74" w:rsidRDefault="00974A77" w:rsidP="00974A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A74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p w:rsidR="00974A77" w:rsidRPr="00AB2A74" w:rsidRDefault="00974A77" w:rsidP="00974A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1"/>
        <w:gridCol w:w="6627"/>
      </w:tblGrid>
      <w:tr w:rsidR="00974A77" w:rsidRPr="00AB2A74" w:rsidTr="00271D2D">
        <w:tc>
          <w:tcPr>
            <w:tcW w:w="3181" w:type="dxa"/>
            <w:tcBorders>
              <w:bottom w:val="nil"/>
            </w:tcBorders>
            <w:shd w:val="clear" w:color="auto" w:fill="auto"/>
          </w:tcPr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27" w:type="dxa"/>
            <w:shd w:val="clear" w:color="auto" w:fill="auto"/>
          </w:tcPr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974A77" w:rsidRPr="00AB2A74" w:rsidTr="00271D2D">
        <w:tc>
          <w:tcPr>
            <w:tcW w:w="3181" w:type="dxa"/>
            <w:tcBorders>
              <w:bottom w:val="nil"/>
            </w:tcBorders>
            <w:shd w:val="clear" w:color="auto" w:fill="auto"/>
          </w:tcPr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eastAsia="MS Mincho" w:hAnsi="Times New Roman"/>
                <w:sz w:val="24"/>
                <w:szCs w:val="24"/>
              </w:rPr>
              <w:t>Основы доказательной медицины</w:t>
            </w:r>
          </w:p>
        </w:tc>
        <w:tc>
          <w:tcPr>
            <w:tcW w:w="6627" w:type="dxa"/>
            <w:shd w:val="clear" w:color="auto" w:fill="auto"/>
          </w:tcPr>
          <w:p w:rsidR="00974A77" w:rsidRPr="00AB2A74" w:rsidRDefault="00974A77" w:rsidP="0097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>Формирование направления доказательная медицина. Принципы доказательности в поиске причинно-следственных связей.</w:t>
            </w:r>
          </w:p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A77" w:rsidRPr="00AB2A74" w:rsidTr="00271D2D">
        <w:tc>
          <w:tcPr>
            <w:tcW w:w="3181" w:type="dxa"/>
            <w:tcBorders>
              <w:bottom w:val="nil"/>
            </w:tcBorders>
            <w:shd w:val="clear" w:color="auto" w:fill="auto"/>
          </w:tcPr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исследований в клинике.</w:t>
            </w:r>
          </w:p>
        </w:tc>
        <w:tc>
          <w:tcPr>
            <w:tcW w:w="6627" w:type="dxa"/>
            <w:shd w:val="clear" w:color="auto" w:fill="auto"/>
          </w:tcPr>
          <w:p w:rsidR="00974A77" w:rsidRPr="00AB2A74" w:rsidRDefault="00974A77" w:rsidP="0097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 xml:space="preserve">Типы (варианты, характерные черты) исследований. </w:t>
            </w:r>
            <w:proofErr w:type="gramStart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Сплошные и выборочные, описательные и аналитические, наблюдательные и экспериментальные, рутинные и специальные, одномоментные (поперечные) и продольные (продолжительные) ретроспективные, динамические и смешанные, полевые и клинические, ориентировочные </w:t>
            </w:r>
            <w:r w:rsidRPr="00AB2A74">
              <w:rPr>
                <w:rFonts w:ascii="Times New Roman" w:hAnsi="Times New Roman"/>
                <w:sz w:val="24"/>
                <w:szCs w:val="24"/>
              </w:rPr>
              <w:lastRenderedPageBreak/>
              <w:t>(пробные), «случай-контроль» и «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когортные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 Принципиальная схема организации, основные этапы исследования.</w:t>
            </w:r>
          </w:p>
          <w:p w:rsidR="00974A77" w:rsidRPr="00AB2A74" w:rsidRDefault="00974A77" w:rsidP="0097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 xml:space="preserve">Особенности распределения заболеваемости во времени. Уровни, динамика и структура заболеваемости, сгруппированной по признаку места (территории) возникновения заболеваний. </w:t>
            </w:r>
          </w:p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A77" w:rsidRPr="00AB2A74" w:rsidTr="00271D2D">
        <w:tc>
          <w:tcPr>
            <w:tcW w:w="3181" w:type="dxa"/>
            <w:tcBorders>
              <w:bottom w:val="nil"/>
            </w:tcBorders>
            <w:shd w:val="clear" w:color="auto" w:fill="auto"/>
          </w:tcPr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Аналитические исследования.</w:t>
            </w:r>
          </w:p>
        </w:tc>
        <w:tc>
          <w:tcPr>
            <w:tcW w:w="6627" w:type="dxa"/>
            <w:shd w:val="clear" w:color="auto" w:fill="auto"/>
          </w:tcPr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>Выявление причин возникновения и распространения болезни, оценка эффективности лечебных, профилактических и противоэпидемических мероприятий, как основные цели аналитических исследований. «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Когортные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>» исследования и исследования «случай-контроль» - два основных типа наблюдательных аналитических исследований, предназначенных для выявления причин возникновения и распространения болезни.</w:t>
            </w:r>
            <w:r w:rsidRPr="00AB2A74">
              <w:rPr>
                <w:rFonts w:ascii="Times New Roman" w:hAnsi="Times New Roman"/>
                <w:iCs/>
                <w:sz w:val="24"/>
                <w:szCs w:val="24"/>
              </w:rPr>
              <w:t xml:space="preserve"> О</w:t>
            </w:r>
            <w:r w:rsidRPr="00AB2A7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ценка потенциальной эффективности и безопасности профилактических средств и мероприятий.</w:t>
            </w:r>
          </w:p>
        </w:tc>
      </w:tr>
      <w:tr w:rsidR="00974A77" w:rsidRPr="00AB2A74" w:rsidTr="00271D2D">
        <w:tc>
          <w:tcPr>
            <w:tcW w:w="3181" w:type="dxa"/>
            <w:tcBorders>
              <w:bottom w:val="nil"/>
            </w:tcBorders>
            <w:shd w:val="clear" w:color="auto" w:fill="auto"/>
          </w:tcPr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A74">
              <w:rPr>
                <w:rFonts w:ascii="Times New Roman" w:hAnsi="Times New Roman"/>
                <w:iCs/>
                <w:sz w:val="24"/>
                <w:szCs w:val="24"/>
              </w:rPr>
              <w:t>Рандомизированные</w:t>
            </w:r>
            <w:proofErr w:type="spellEnd"/>
            <w:r w:rsidRPr="00AB2A74">
              <w:rPr>
                <w:rFonts w:ascii="Times New Roman" w:hAnsi="Times New Roman"/>
                <w:iCs/>
                <w:sz w:val="24"/>
                <w:szCs w:val="24"/>
              </w:rPr>
              <w:t xml:space="preserve"> клинические контролируемые испытания</w:t>
            </w:r>
          </w:p>
        </w:tc>
        <w:tc>
          <w:tcPr>
            <w:tcW w:w="6627" w:type="dxa"/>
            <w:shd w:val="clear" w:color="auto" w:fill="auto"/>
          </w:tcPr>
          <w:p w:rsidR="00974A77" w:rsidRPr="00AB2A74" w:rsidRDefault="00974A77" w:rsidP="00974A77">
            <w:pPr>
              <w:tabs>
                <w:tab w:val="left" w:pos="95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iCs/>
                <w:sz w:val="24"/>
                <w:szCs w:val="24"/>
              </w:rPr>
              <w:t>Цели клинических испытаний</w:t>
            </w:r>
            <w:r w:rsidRPr="00AB2A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 Внутренняя и внешняя достоверность РКИ. Формирование выборки. Рандомизация как способ избежать ошибки при формировании опытной и контрольной групп, методы рандомизации. Организация контролей - слепой и двойной слепой опыт (метод). Особенности наблюдения. </w:t>
            </w:r>
          </w:p>
          <w:p w:rsidR="00974A77" w:rsidRPr="00AB2A74" w:rsidRDefault="00974A77" w:rsidP="00974A7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 xml:space="preserve">Фазы клинических испытаний (КИ). Особенности проведения КИ вакцин и других иммунобиологических препаратов (сыворотки, интерфероны, иммуноглобулины), а также лекарственных средств.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Рандомизированные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 полевые контролируемые испытания. - </w:t>
            </w:r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Оценка потенциальной эффективности  и безопасности диагностических и </w:t>
            </w:r>
            <w:proofErr w:type="spellStart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>скрининговых</w:t>
            </w:r>
            <w:proofErr w:type="spellEnd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 тестов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понятий диагностический и </w:t>
            </w:r>
            <w:proofErr w:type="spellStart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>скрининговый</w:t>
            </w:r>
            <w:proofErr w:type="spellEnd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 тест. Предназначение диагностических (установление диагноза и выбора терапии) и </w:t>
            </w:r>
            <w:proofErr w:type="spellStart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>скрининговых</w:t>
            </w:r>
            <w:proofErr w:type="spellEnd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 тестов (раннее выявление заболевших и проведения вторичной профилактики).  Использование экспериментальных исследований для оценки диагностических и </w:t>
            </w:r>
            <w:proofErr w:type="spellStart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>скрининговых</w:t>
            </w:r>
            <w:proofErr w:type="spellEnd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 тестов.</w:t>
            </w:r>
            <w:r w:rsidRPr="00AB2A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>Особенности организации исследования для оценки диагностических тестов. Основная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>схема испытания диагностического теста</w:t>
            </w:r>
            <w:r w:rsidRPr="00AB2A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 «Золотой стандарт» - наиболее точный диагностический тест. 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Схема испытания эффективности и безопасности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скрининговой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  программы. Оценка эффективности и безопасности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скрининговой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 программ. Чувствительность, специфичность и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валидность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 диагностических критериев и их влияние на полноту выявления больных инфекционными и неинфекционными болезнями. </w:t>
            </w:r>
          </w:p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A77" w:rsidRPr="00AB2A74" w:rsidTr="00271D2D">
        <w:tc>
          <w:tcPr>
            <w:tcW w:w="3181" w:type="dxa"/>
            <w:tcBorders>
              <w:bottom w:val="nil"/>
            </w:tcBorders>
            <w:shd w:val="clear" w:color="auto" w:fill="auto"/>
          </w:tcPr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>Базы данных.</w:t>
            </w:r>
          </w:p>
        </w:tc>
        <w:tc>
          <w:tcPr>
            <w:tcW w:w="6627" w:type="dxa"/>
            <w:shd w:val="clear" w:color="auto" w:fill="auto"/>
          </w:tcPr>
          <w:p w:rsidR="00974A77" w:rsidRPr="00AB2A74" w:rsidRDefault="00974A77" w:rsidP="0097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 xml:space="preserve">Поиск доказательной информации Источники доказательной информации. </w:t>
            </w:r>
            <w:r w:rsidRPr="00AB2A74">
              <w:rPr>
                <w:rFonts w:ascii="Times New Roman" w:hAnsi="Times New Roman"/>
                <w:iCs/>
                <w:sz w:val="24"/>
                <w:szCs w:val="24"/>
              </w:rPr>
              <w:t>Общая структура научного сообщения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. Реферат. Введение (история вопроса; обоснование исследования). Методы исследования (организация исследования; изучаемая выборка; вмешательство; распределение вмешательств; </w:t>
            </w:r>
            <w:r w:rsidRPr="00AB2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список осложнений; статистический анализ данных). Результаты исследования. Обсуждение. Выводы. Литература. Требования к составлению данных разделов. </w:t>
            </w:r>
            <w:r w:rsidRPr="00AB2A74">
              <w:rPr>
                <w:rFonts w:ascii="Times New Roman" w:hAnsi="Times New Roman"/>
                <w:iCs/>
                <w:sz w:val="24"/>
                <w:szCs w:val="24"/>
              </w:rPr>
              <w:t>Алгоритм оценки научной  публикации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74A77" w:rsidRPr="00AB2A74" w:rsidTr="00271D2D">
        <w:tc>
          <w:tcPr>
            <w:tcW w:w="3181" w:type="dxa"/>
            <w:shd w:val="clear" w:color="auto" w:fill="auto"/>
          </w:tcPr>
          <w:p w:rsidR="00974A77" w:rsidRPr="00AB2A74" w:rsidRDefault="00974A77" w:rsidP="00271D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A7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Информационные системы в медицине</w:t>
            </w:r>
            <w:r w:rsidRPr="00AB2A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>(ИС).</w:t>
            </w:r>
          </w:p>
        </w:tc>
        <w:tc>
          <w:tcPr>
            <w:tcW w:w="6627" w:type="dxa"/>
            <w:shd w:val="clear" w:color="auto" w:fill="auto"/>
          </w:tcPr>
          <w:p w:rsidR="00974A77" w:rsidRPr="00AB2A74" w:rsidRDefault="00974A77" w:rsidP="00271D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>Модели информационных систем. Медицинские серверы. Примеры</w:t>
            </w:r>
            <w:r w:rsidRPr="00454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454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454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>в</w:t>
            </w:r>
            <w:r w:rsidRPr="00454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>эпидемиологии</w:t>
            </w:r>
            <w:r w:rsidRPr="00454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WHOSIS</w:t>
            </w:r>
            <w:r w:rsidRPr="00454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Pr="00454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Statistical</w:t>
            </w:r>
            <w:r w:rsidRPr="00454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Information</w:t>
            </w:r>
            <w:r w:rsidRPr="00454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System</w:t>
            </w:r>
            <w:r w:rsidRPr="00454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  <w:r w:rsidRPr="00454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Metrics</w:t>
            </w:r>
            <w:r w:rsidRPr="00454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Network</w:t>
            </w:r>
            <w:r w:rsidRPr="00454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VAERS</w:t>
            </w:r>
            <w:r w:rsidRPr="00454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>др</w:t>
            </w:r>
            <w:r w:rsidRPr="00454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Базы данных (БД) определение, классификация. Два вида баз данных: реляционные и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постреляционные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 (документно-ориентированные). </w:t>
            </w:r>
            <w:r w:rsidRPr="00AB2A74">
              <w:rPr>
                <w:rFonts w:ascii="Times New Roman" w:hAnsi="Times New Roman"/>
                <w:iCs/>
                <w:sz w:val="24"/>
                <w:szCs w:val="24"/>
              </w:rPr>
              <w:t>Информационные технологии.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 Обмен данными. Информационные потоки. Управление информационными потоками.  Электронные источники доказательной информации</w:t>
            </w:r>
            <w:r w:rsidRPr="00AB2A7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B2A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Носители. Сети. Доступ. Подписка. Обновление. </w:t>
            </w:r>
            <w:r w:rsidRPr="00AB2A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2A74">
              <w:rPr>
                <w:rFonts w:ascii="Times New Roman" w:hAnsi="Times New Roman"/>
                <w:iCs/>
                <w:sz w:val="24"/>
                <w:szCs w:val="24"/>
              </w:rPr>
              <w:t>Поиск информации.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 Поисковые системы (</w:t>
            </w:r>
            <w:proofErr w:type="gramStart"/>
            <w:r w:rsidRPr="00AB2A7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VID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Silver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Platter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AB2A7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Рубрикаторы  (</w:t>
            </w:r>
            <w:proofErr w:type="spellStart"/>
            <w:r w:rsidRPr="00AB2A7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MeSH</w:t>
            </w:r>
            <w:proofErr w:type="spellEnd"/>
            <w:r w:rsidRPr="00AB2A7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).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A7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Стратегии формирования поискового запроса в различных поисковых системах и базах данных в зависимости от типа клинического вопроса. Стратегии для поиска </w:t>
            </w:r>
            <w:proofErr w:type="spellStart"/>
            <w:r w:rsidRPr="00AB2A7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рандомизированных</w:t>
            </w:r>
            <w:proofErr w:type="spellEnd"/>
            <w:r w:rsidRPr="00AB2A7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клинических испытаний, систематических обзоров, диагностических тестов, этиологических факторов, прогноза развития болезни, исходов лечения клинических руководств, профилактических программ с доказанной эффективностью, разрабатываемые центрами доказательной медицины Великобритании, Канады, США  и других стран. 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Содержание и характеристики баз данных, содержащих сведения по доказательной медицине.  </w:t>
            </w:r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</w:t>
            </w:r>
            <w:proofErr w:type="spellStart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>Кохрановского</w:t>
            </w:r>
            <w:proofErr w:type="spellEnd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 сотрудничества. </w:t>
            </w:r>
            <w:proofErr w:type="spellStart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>Кохрановская</w:t>
            </w:r>
            <w:proofErr w:type="spellEnd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библиотека.</w:t>
            </w:r>
          </w:p>
          <w:p w:rsidR="00974A77" w:rsidRPr="00AB2A74" w:rsidRDefault="00974A77" w:rsidP="00974A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 xml:space="preserve">Систематические обзоры.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Метаанализ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. Систематические обзоры. Определение.  Цель составления. Требования к составлению систематических обзоров. Использование данных систематических обзоров в практической работе.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Метаанализ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. Определение. Цель проведения. Требования к проведению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метаанализа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974A77" w:rsidRPr="00AB2A74" w:rsidRDefault="00974A77" w:rsidP="00974A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AB2A74" w:rsidRDefault="00974A77" w:rsidP="00974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941" w:rsidRDefault="004544B9"/>
    <w:sectPr w:rsidR="00913941" w:rsidSect="00B83E6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77"/>
    <w:rsid w:val="004544B9"/>
    <w:rsid w:val="006C3D33"/>
    <w:rsid w:val="007D150A"/>
    <w:rsid w:val="0097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77"/>
    <w:pPr>
      <w:tabs>
        <w:tab w:val="left" w:pos="708"/>
      </w:tabs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74A77"/>
    <w:pPr>
      <w:keepNext/>
      <w:tabs>
        <w:tab w:val="clear" w:pos="708"/>
      </w:tabs>
      <w:spacing w:after="0" w:line="240" w:lineRule="auto"/>
      <w:jc w:val="both"/>
      <w:outlineLvl w:val="0"/>
    </w:pPr>
    <w:rPr>
      <w:rFonts w:ascii="Times New Roman" w:hAnsi="Times New Roman"/>
      <w:i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A77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77"/>
    <w:pPr>
      <w:tabs>
        <w:tab w:val="left" w:pos="708"/>
      </w:tabs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74A77"/>
    <w:pPr>
      <w:keepNext/>
      <w:tabs>
        <w:tab w:val="clear" w:pos="708"/>
      </w:tabs>
      <w:spacing w:after="0" w:line="240" w:lineRule="auto"/>
      <w:jc w:val="both"/>
      <w:outlineLvl w:val="0"/>
    </w:pPr>
    <w:rPr>
      <w:rFonts w:ascii="Times New Roman" w:hAnsi="Times New Roman"/>
      <w:i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A77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 И. Е.</cp:lastModifiedBy>
  <cp:revision>2</cp:revision>
  <dcterms:created xsi:type="dcterms:W3CDTF">2020-02-11T10:42:00Z</dcterms:created>
  <dcterms:modified xsi:type="dcterms:W3CDTF">2020-02-11T10:42:00Z</dcterms:modified>
</cp:coreProperties>
</file>