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E8E" w:rsidRPr="00B84E8E" w:rsidRDefault="00B84E8E" w:rsidP="006D78A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Экзаменационные вопросы </w:t>
      </w:r>
      <w:r w:rsidR="006D78A4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для сдачи кандидатского минимума по специальности «Клиническая фармакология»</w:t>
      </w:r>
    </w:p>
    <w:p w:rsidR="00E97CFB" w:rsidRPr="00767BAB" w:rsidRDefault="00E97CFB" w:rsidP="00E97CFB">
      <w:pPr>
        <w:widowControl w:val="0"/>
        <w:tabs>
          <w:tab w:val="right" w:pos="8505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A169F1" w:rsidRPr="00767BAB" w:rsidRDefault="00A169F1" w:rsidP="00A169F1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Предмет, основные разделы и задачи клинической фармакологии. Разделы клинической фармакологии</w:t>
      </w:r>
      <w:r w:rsidR="002A518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97CFB" w:rsidRPr="00767BAB" w:rsidRDefault="00E97CFB" w:rsidP="00E97CFB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Современные методы клинической эффективности и безопасности лекарственных средств (ЛС), виды клинических испытаний. Понятие о "качественной клинической практике" (</w:t>
      </w:r>
      <w:r w:rsidRPr="00767BAB">
        <w:rPr>
          <w:rFonts w:ascii="Times New Roman" w:eastAsia="Times New Roman" w:hAnsi="Times New Roman" w:cs="Times New Roman"/>
          <w:sz w:val="24"/>
          <w:szCs w:val="24"/>
        </w:rPr>
        <w:t>GCP</w:t>
      </w: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E97CFB" w:rsidRPr="00767BAB" w:rsidRDefault="00E97CFB" w:rsidP="00E97CFB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Фармакотерапия: основные принципы, виды. Цели и задачи рациональной фармакотерапии. </w:t>
      </w:r>
    </w:p>
    <w:p w:rsidR="00BB6AE3" w:rsidRPr="00767BAB" w:rsidRDefault="00BB6AE3" w:rsidP="00BB6AE3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Фармакотерапия: определение, цели, виды. Принципы оценки эффективности и безопасности ЛС.</w:t>
      </w:r>
    </w:p>
    <w:p w:rsidR="00BB6AE3" w:rsidRPr="00767BAB" w:rsidRDefault="00BB6AE3" w:rsidP="00BB6AE3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Терапевтический лекарственный мониторинг, значение для оптимизации фармакотерапии. Лекарственные средства с узким терапевтическим диапазоном. Примеры</w:t>
      </w:r>
      <w:r w:rsidR="002A518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B6AE3" w:rsidRPr="00767BAB" w:rsidRDefault="00BB6AE3" w:rsidP="00BB6AE3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Классификация ВОЗ НЛР. Приведите примеры реакций типа А, В, С и Д, в чем отличие НЛР типа А и В. Что понимается под серьезной НЛР?</w:t>
      </w:r>
    </w:p>
    <w:p w:rsidR="00BB6AE3" w:rsidRPr="00767BAB" w:rsidRDefault="00BB6AE3" w:rsidP="00BB6AE3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Клиническая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фармакогенетика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Генетические факторы, влияющие на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фармакодинамику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ЛС.</w:t>
      </w:r>
    </w:p>
    <w:p w:rsidR="00BB6AE3" w:rsidRPr="00767BAB" w:rsidRDefault="00BB6AE3" w:rsidP="00BB6AE3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Клиническая фармакология и доказательная медицина. Стандарты лечения. </w:t>
      </w:r>
    </w:p>
    <w:p w:rsidR="001F2C27" w:rsidRPr="00767BAB" w:rsidRDefault="001F2C27" w:rsidP="001F2C27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Современные методы клинической эффективности и безопасности лекарственных средств, фазы клинических испытаний.</w:t>
      </w:r>
    </w:p>
    <w:p w:rsidR="00E97CFB" w:rsidRPr="00767BAB" w:rsidRDefault="00E97CFB" w:rsidP="00E97CFB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Связь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фармакодинамики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фармакокинетики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Определение величины фармакологического эффекта.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Терапевтический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эффект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терапевтический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диапазон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терапевтическая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широта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лекарственного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6AE3" w:rsidRPr="00767BAB" w:rsidRDefault="00BB6AE3" w:rsidP="00BB6AE3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основные фармакокинетические параметры. Биодоступность и биоэквивалентность лекарственных средств.</w:t>
      </w:r>
    </w:p>
    <w:p w:rsidR="00BB6AE3" w:rsidRPr="00767BAB" w:rsidRDefault="00BB6AE3" w:rsidP="00BB6AE3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и клиническое значение: фармакокинетическая кривая, площадь под фармакокинетической кривой, максимальная концентрация.</w:t>
      </w:r>
    </w:p>
    <w:p w:rsidR="00BB6AE3" w:rsidRPr="00767BAB" w:rsidRDefault="00BB6AE3" w:rsidP="00BB6AE3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Основные фармакокинетические процессы. Связывание с белками плазмы крови.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Факторы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влияющие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связывание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ЛС с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белками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6AE3" w:rsidRPr="00767BAB" w:rsidRDefault="00BB6AE3" w:rsidP="00BB6AE3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лекарственных средств в организме. Факторы, влияющие на распределение. Примеры.</w:t>
      </w:r>
    </w:p>
    <w:p w:rsidR="001F2C27" w:rsidRPr="00767BAB" w:rsidRDefault="001F2C27" w:rsidP="001F2C27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основные фармакокинетические параметры. Период полувыведения и максимальная концентрация: определения, значение этих показателей для оптимизации фармакотерапии.</w:t>
      </w:r>
    </w:p>
    <w:p w:rsidR="001F2C27" w:rsidRPr="00767BAB" w:rsidRDefault="001F2C27" w:rsidP="001F2C27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основные фармакокинетические параметры. Период полувыведения и равновесная концентрация: определения, значение этих показателей для оптимизации фармакотерапии.</w:t>
      </w:r>
    </w:p>
    <w:p w:rsidR="00BB6AE3" w:rsidRPr="00767BAB" w:rsidRDefault="00BB6AE3" w:rsidP="00BB6AE3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Взаимодействия лекарственных средств с компонентами пищи, компонентами табачного дыма, алкоголем</w:t>
      </w:r>
      <w:r w:rsidR="002A518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B6AE3" w:rsidRPr="00767BAB" w:rsidRDefault="00BB6AE3" w:rsidP="00BB6AE3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Понятие о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пресистемном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метаболизме, его значение, примеры. Понятие о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пролекарстве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, примеры.</w:t>
      </w:r>
    </w:p>
    <w:p w:rsidR="00BB6AE3" w:rsidRPr="00767BAB" w:rsidRDefault="00BB6AE3" w:rsidP="00BB6AE3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основные фармакокинетические параметры. Общий клиренс: определение; основные физиологические факторы, определяющие клиренс; значение показателя для оптимизации фармакотерапии.</w:t>
      </w:r>
    </w:p>
    <w:p w:rsidR="00BB6AE3" w:rsidRPr="00767BAB" w:rsidRDefault="00BB6AE3" w:rsidP="00BB6AE3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Пресистемная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элиминация лекарственных средств. Примеры, значение для оптимизации фармакотерапии.</w:t>
      </w:r>
    </w:p>
    <w:p w:rsidR="00E97CFB" w:rsidRPr="00767BAB" w:rsidRDefault="00E97CFB" w:rsidP="00E97CFB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Основные фармакокинетические процессы. Выведение лекарственных средств из организма почками.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Факторы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влияющие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почечный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клиренс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ЛС.</w:t>
      </w:r>
    </w:p>
    <w:p w:rsidR="00BB6AE3" w:rsidRPr="00767BAB" w:rsidRDefault="00BB6AE3" w:rsidP="00BB6AE3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Абсорбция лекарственных средств: определение, механизмы. Факторы, </w:t>
      </w: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влияющие на абсорбцию при </w:t>
      </w:r>
      <w:proofErr w:type="gram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пероральном  введении</w:t>
      </w:r>
      <w:proofErr w:type="gram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лекарственных средств.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Примеры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69F1" w:rsidRPr="00767BAB" w:rsidRDefault="00A169F1" w:rsidP="00A169F1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термина “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пролекарство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”, значение для клиники, примеры</w:t>
      </w:r>
    </w:p>
    <w:p w:rsidR="00A169F1" w:rsidRPr="00767BAB" w:rsidRDefault="00A169F1" w:rsidP="00A169F1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Фармакокинетическое  взаимодействие</w:t>
      </w:r>
      <w:proofErr w:type="gram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ЛС на уровне метаболизма.</w:t>
      </w:r>
    </w:p>
    <w:p w:rsidR="00A169F1" w:rsidRPr="00767BAB" w:rsidRDefault="00A169F1" w:rsidP="00A169F1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Фармакологические эффекты лекарственных средств. Понятие аффинитета. Агонисты, антагонисты, частичные агонисты рецепторов, антагонисты с собственной активностью. Примеры.</w:t>
      </w:r>
    </w:p>
    <w:p w:rsidR="00A169F1" w:rsidRPr="00767BAB" w:rsidRDefault="00A169F1" w:rsidP="00A169F1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Экскреция лекарственных средств из организма: основные пути, механизмы. Факторы, влияющие на экскрецию лекарственных средств почками. Примеры, значение для оптимизации фармакотерапии</w:t>
      </w:r>
      <w:r w:rsidR="002A518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169F1" w:rsidRPr="00767BAB" w:rsidRDefault="00A169F1" w:rsidP="00A169F1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Эффект первого прохождения через печень. Клиническое значение. Примеры лекарственных средств.</w:t>
      </w:r>
    </w:p>
    <w:p w:rsidR="00A169F1" w:rsidRPr="00767BAB" w:rsidRDefault="00A169F1" w:rsidP="00A169F1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Виды взаимодействий лекарственных средств. Примеры.</w:t>
      </w:r>
    </w:p>
    <w:p w:rsidR="00A169F1" w:rsidRPr="00767BAB" w:rsidRDefault="00A169F1" w:rsidP="00A169F1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Основные фармакокинетические процессы. Выведение лекарственных средств из организма печенью.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Факторы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влияющие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печеночный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клиренс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ЛС.</w:t>
      </w:r>
    </w:p>
    <w:p w:rsidR="003C637B" w:rsidRPr="00767BAB" w:rsidRDefault="003C637B" w:rsidP="003C637B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Экскреция лекарственных средств из организма: основные пути, механизмы. Факторы, влияющие на экскрецию лекарственных средств почками. Примеры, значение для оптимизации фармакотерапии.</w:t>
      </w:r>
    </w:p>
    <w:p w:rsidR="001F2C27" w:rsidRPr="00767BAB" w:rsidRDefault="001F2C27" w:rsidP="001F2C27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Классификация лекарственных средств по риску развития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эмбриотоксического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тератогенного действия. </w:t>
      </w:r>
    </w:p>
    <w:p w:rsidR="001F2C27" w:rsidRPr="00767BAB" w:rsidRDefault="001F2C27" w:rsidP="001F2C27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Особенности клинической фармакологии лекарственных средств у новорожденных. </w:t>
      </w:r>
    </w:p>
    <w:p w:rsidR="001F2C27" w:rsidRPr="00767BAB" w:rsidRDefault="001F2C27" w:rsidP="001F2C27">
      <w:pPr>
        <w:numPr>
          <w:ilvl w:val="0"/>
          <w:numId w:val="29"/>
        </w:num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клинической фармакологии лекарственных средств у пожилых людей. Принципы фармакотерапии пожилых.</w:t>
      </w:r>
    </w:p>
    <w:p w:rsidR="001F2C27" w:rsidRPr="00767BAB" w:rsidRDefault="001F2C27" w:rsidP="001F2C27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Особенности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фармакокинетики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лекарственных средств у беременных. Принципы фармакотерапии беременных.</w:t>
      </w:r>
    </w:p>
    <w:p w:rsidR="001F2C27" w:rsidRPr="00767BAB" w:rsidRDefault="001F2C27" w:rsidP="001F2C27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Особенности клинической фармакологии лекарственных средств в период лактации. </w:t>
      </w:r>
    </w:p>
    <w:p w:rsidR="007E7237" w:rsidRPr="00767BAB" w:rsidRDefault="007E7237" w:rsidP="007E7237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Клинико-фармакологические подходы к лечению гипотиреоза. Методы оценки эффективности и безопасности.</w:t>
      </w:r>
    </w:p>
    <w:p w:rsidR="007E7237" w:rsidRPr="00767BAB" w:rsidRDefault="007E7237" w:rsidP="007E7237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Клинико-фармакологические подходы к лечению тиреотоксикоза. Методы оценки эффективности и безопасности тиреостатических препаратов</w:t>
      </w:r>
    </w:p>
    <w:p w:rsidR="007E7237" w:rsidRPr="00767BAB" w:rsidRDefault="007E7237" w:rsidP="007E7237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Классификация пероральных гипогликемических препаратов. Механизм действия и основные фармакодинамические эффекты препаратов сульфонилмочевины.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Оценка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приема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препаратов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сульфонилмочевины.</w:t>
      </w:r>
    </w:p>
    <w:p w:rsidR="007E7237" w:rsidRPr="00767BAB" w:rsidRDefault="007E7237" w:rsidP="007E7237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Клиническая фармакология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бигуанидов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Особенности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фармакодинамики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фармакокинетики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показания к применению. Методы оценки эффективности и безопасности фармакотерапии сахарного диабета 2 типа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бигуанидами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E7237" w:rsidRPr="00767BAB" w:rsidRDefault="007E7237" w:rsidP="007E7237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Сахарный диабет: гипергликемическая кома. Проведите выбор лекарственных средств для фармакотерапии гипергликемической комы.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Оценка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7BAB">
        <w:rPr>
          <w:rFonts w:ascii="Times New Roman" w:eastAsia="Times New Roman" w:hAnsi="Times New Roman" w:cs="Times New Roman"/>
          <w:sz w:val="24"/>
          <w:szCs w:val="24"/>
        </w:rPr>
        <w:t>фармакотерапии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 при</w:t>
      </w:r>
      <w:proofErr w:type="gram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гипергликемической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237" w:rsidRPr="00767BAB" w:rsidRDefault="007E7237" w:rsidP="007E7237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Клинико-фармакологические подходы к терапии СД 1 типа. Препараты инсулина: классификация, особенности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фармакодинамики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фармакокинетики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E7237" w:rsidRPr="00767BAB" w:rsidRDefault="007E7237" w:rsidP="007E7237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Фармакотерапия внебольничной пневмонии. Выбор антибактериальных препаратов.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Методы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антибактериальной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</w:rPr>
        <w:t>терапии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237" w:rsidRPr="00767BAB" w:rsidRDefault="007E7237" w:rsidP="007E7237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Классификация, спектр антибактериальной активности и нежелательные лекарственные реакции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фторхинолонов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E7237" w:rsidRPr="00767BAB" w:rsidRDefault="007E7237" w:rsidP="007E7237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Общие принципы антибиотикотерапии. Методы оценки эффективности и безопасности терапии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макролидами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E7237" w:rsidRPr="00767BAB" w:rsidRDefault="007E7237" w:rsidP="007E7237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Критерии оценки эффективности и безопасности антибактериальной терапии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ванкомицином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F31BE" w:rsidRPr="00767BAB" w:rsidRDefault="000F31BE" w:rsidP="000F31BE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Классификация, спектр антибактериальной активности и нежелательные лекарственные реакции цефалоспоринов.</w:t>
      </w:r>
    </w:p>
    <w:p w:rsidR="000F31BE" w:rsidRPr="00767BAB" w:rsidRDefault="000F31BE" w:rsidP="000F31BE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Классификация, спектр антибактериальной активности и нежелательные лекарственные реакции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линезолида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3C637B" w:rsidRPr="00767BAB" w:rsidRDefault="003C637B" w:rsidP="003C637B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Классификация, спектр антибактериальной активности и нежелательные лекарственные реакции пенициллинов.</w:t>
      </w:r>
    </w:p>
    <w:p w:rsidR="001366E4" w:rsidRPr="00767BAB" w:rsidRDefault="001366E4" w:rsidP="001366E4">
      <w:pPr>
        <w:pStyle w:val="a6"/>
        <w:numPr>
          <w:ilvl w:val="0"/>
          <w:numId w:val="29"/>
        </w:numPr>
        <w:rPr>
          <w:kern w:val="16"/>
          <w:sz w:val="24"/>
          <w:szCs w:val="24"/>
        </w:rPr>
      </w:pPr>
      <w:proofErr w:type="spellStart"/>
      <w:r w:rsidRPr="00767BAB">
        <w:rPr>
          <w:kern w:val="16"/>
          <w:sz w:val="24"/>
          <w:szCs w:val="24"/>
        </w:rPr>
        <w:t>Клинико</w:t>
      </w:r>
      <w:proofErr w:type="spellEnd"/>
      <w:r w:rsidRPr="00767BAB">
        <w:rPr>
          <w:kern w:val="16"/>
          <w:sz w:val="24"/>
          <w:szCs w:val="24"/>
        </w:rPr>
        <w:t xml:space="preserve"> фармакологические подходы к терапии туберкулеза. Выбор лекарственных препаратов. Схемы терапии. Оценка эффективности и безопасности длительной терапии туберкулеза.</w:t>
      </w:r>
    </w:p>
    <w:p w:rsidR="007E7237" w:rsidRPr="00767BAB" w:rsidRDefault="007E7237" w:rsidP="007E7237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Методы оценки эффективности и безопасности терапии противовирусными препаратами.</w:t>
      </w:r>
    </w:p>
    <w:p w:rsidR="003C637B" w:rsidRPr="00767BAB" w:rsidRDefault="003C637B" w:rsidP="003C637B">
      <w:pPr>
        <w:pStyle w:val="a5"/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hAnsi="Times New Roman" w:cs="Times New Roman"/>
          <w:kern w:val="16"/>
          <w:sz w:val="24"/>
          <w:szCs w:val="24"/>
          <w:lang w:val="ru-RU"/>
        </w:rPr>
      </w:pPr>
      <w:r w:rsidRPr="00767BAB">
        <w:rPr>
          <w:rFonts w:ascii="Times New Roman" w:hAnsi="Times New Roman" w:cs="Times New Roman"/>
          <w:kern w:val="16"/>
          <w:sz w:val="24"/>
          <w:szCs w:val="24"/>
          <w:lang w:val="ru-RU"/>
        </w:rPr>
        <w:t xml:space="preserve">Клинико-фармакологические подходы к лечению герпеса. Механизм действия </w:t>
      </w:r>
      <w:proofErr w:type="spellStart"/>
      <w:r w:rsidRPr="00767BAB">
        <w:rPr>
          <w:rFonts w:ascii="Times New Roman" w:hAnsi="Times New Roman" w:cs="Times New Roman"/>
          <w:kern w:val="16"/>
          <w:sz w:val="24"/>
          <w:szCs w:val="24"/>
          <w:lang w:val="ru-RU"/>
        </w:rPr>
        <w:t>противогерпетических</w:t>
      </w:r>
      <w:proofErr w:type="spellEnd"/>
      <w:r w:rsidRPr="00767BAB">
        <w:rPr>
          <w:rFonts w:ascii="Times New Roman" w:hAnsi="Times New Roman" w:cs="Times New Roman"/>
          <w:kern w:val="16"/>
          <w:sz w:val="24"/>
          <w:szCs w:val="24"/>
          <w:lang w:val="ru-RU"/>
        </w:rPr>
        <w:t xml:space="preserve"> препаратов. Побочные эффекты. </w:t>
      </w:r>
      <w:proofErr w:type="spellStart"/>
      <w:r w:rsidRPr="00767BAB">
        <w:rPr>
          <w:rFonts w:ascii="Times New Roman" w:hAnsi="Times New Roman" w:cs="Times New Roman"/>
          <w:kern w:val="16"/>
          <w:sz w:val="24"/>
          <w:szCs w:val="24"/>
        </w:rPr>
        <w:t>Методы</w:t>
      </w:r>
      <w:proofErr w:type="spellEnd"/>
      <w:r w:rsidRPr="00767BAB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proofErr w:type="spellStart"/>
      <w:r w:rsidRPr="00767BAB">
        <w:rPr>
          <w:rFonts w:ascii="Times New Roman" w:hAnsi="Times New Roman" w:cs="Times New Roman"/>
          <w:kern w:val="16"/>
          <w:sz w:val="24"/>
          <w:szCs w:val="24"/>
        </w:rPr>
        <w:t>оценки</w:t>
      </w:r>
      <w:proofErr w:type="spellEnd"/>
      <w:r w:rsidRPr="00767BAB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proofErr w:type="spellStart"/>
      <w:r w:rsidRPr="00767BAB">
        <w:rPr>
          <w:rFonts w:ascii="Times New Roman" w:hAnsi="Times New Roman" w:cs="Times New Roman"/>
          <w:kern w:val="16"/>
          <w:sz w:val="24"/>
          <w:szCs w:val="24"/>
        </w:rPr>
        <w:t>эффективности</w:t>
      </w:r>
      <w:proofErr w:type="spellEnd"/>
      <w:r w:rsidRPr="00767BAB">
        <w:rPr>
          <w:rFonts w:ascii="Times New Roman" w:hAnsi="Times New Roman" w:cs="Times New Roman"/>
          <w:kern w:val="16"/>
          <w:sz w:val="24"/>
          <w:szCs w:val="24"/>
        </w:rPr>
        <w:t xml:space="preserve"> и </w:t>
      </w:r>
      <w:proofErr w:type="spellStart"/>
      <w:r w:rsidRPr="00767BAB">
        <w:rPr>
          <w:rFonts w:ascii="Times New Roman" w:hAnsi="Times New Roman" w:cs="Times New Roman"/>
          <w:kern w:val="16"/>
          <w:sz w:val="24"/>
          <w:szCs w:val="24"/>
        </w:rPr>
        <w:t>безопасности</w:t>
      </w:r>
      <w:proofErr w:type="spellEnd"/>
    </w:p>
    <w:p w:rsidR="003C637B" w:rsidRDefault="003C637B" w:rsidP="003C637B">
      <w:pPr>
        <w:numPr>
          <w:ilvl w:val="0"/>
          <w:numId w:val="29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kern w:val="16"/>
          <w:sz w:val="24"/>
          <w:szCs w:val="24"/>
          <w:lang w:val="ru-RU"/>
        </w:rPr>
      </w:pPr>
      <w:r w:rsidRPr="00767BAB">
        <w:rPr>
          <w:rFonts w:ascii="Times New Roman" w:hAnsi="Times New Roman" w:cs="Times New Roman"/>
          <w:kern w:val="16"/>
          <w:sz w:val="24"/>
          <w:szCs w:val="24"/>
          <w:lang w:val="ru-RU"/>
        </w:rPr>
        <w:t>Клиническая фармакология противовирусных ЛС, используемых в терапии СПИД и гепатитов.</w:t>
      </w:r>
    </w:p>
    <w:p w:rsidR="004A578F" w:rsidRPr="004A578F" w:rsidRDefault="004A578F" w:rsidP="003C637B">
      <w:pPr>
        <w:numPr>
          <w:ilvl w:val="0"/>
          <w:numId w:val="29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kern w:val="16"/>
          <w:sz w:val="24"/>
          <w:szCs w:val="24"/>
          <w:lang w:val="ru-RU"/>
        </w:rPr>
      </w:pPr>
      <w:r w:rsidRPr="004A578F">
        <w:rPr>
          <w:rFonts w:ascii="Times New Roman" w:hAnsi="Times New Roman" w:cs="Times New Roman"/>
          <w:kern w:val="16"/>
          <w:sz w:val="24"/>
          <w:szCs w:val="24"/>
          <w:lang w:val="ru-RU"/>
        </w:rPr>
        <w:t>Клинико-фармакологические подходы к назначению противогрибковых средств. Показания, основные фармакодинамические эффекты, режим дозирования. Оценка эффективности и безопасности терапии</w:t>
      </w:r>
      <w:r>
        <w:rPr>
          <w:rFonts w:ascii="Times New Roman" w:hAnsi="Times New Roman" w:cs="Times New Roman"/>
          <w:kern w:val="16"/>
          <w:sz w:val="24"/>
          <w:szCs w:val="24"/>
          <w:lang w:val="ru-RU"/>
        </w:rPr>
        <w:t>.</w:t>
      </w:r>
    </w:p>
    <w:p w:rsidR="007E7237" w:rsidRPr="00767BAB" w:rsidRDefault="007E7237" w:rsidP="007E7237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Клинико-фармакологические подходы к терапии железодефицитной анемии. Особенности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фармакодинамики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фармакокинетики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препаратов железа. Оценка эффективности и безопасности терапии анемии препаратами железа.</w:t>
      </w:r>
    </w:p>
    <w:p w:rsidR="007E7237" w:rsidRPr="00767BAB" w:rsidRDefault="007E7237" w:rsidP="007E7237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Ингибиторы протонной помпы: особенности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фармакодинамики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фармакокинетики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препаратов, показания и противопоказания.</w:t>
      </w:r>
    </w:p>
    <w:p w:rsidR="007E7237" w:rsidRPr="00767BAB" w:rsidRDefault="007E7237" w:rsidP="007E7237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Клинико-фармакологический подход </w:t>
      </w:r>
      <w:proofErr w:type="gram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к  терапии</w:t>
      </w:r>
      <w:proofErr w:type="gram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хронического гастрита, обусловленного инфекцией </w:t>
      </w:r>
      <w:r w:rsidRPr="00767BA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67BAB">
        <w:rPr>
          <w:rFonts w:ascii="Times New Roman" w:eastAsia="Times New Roman" w:hAnsi="Times New Roman" w:cs="Times New Roman"/>
          <w:sz w:val="24"/>
          <w:szCs w:val="24"/>
        </w:rPr>
        <w:t>pylori</w:t>
      </w:r>
    </w:p>
    <w:p w:rsidR="003C637B" w:rsidRPr="00767BAB" w:rsidRDefault="003C637B" w:rsidP="007E7237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Клинико-фармакологический подход </w:t>
      </w:r>
      <w:proofErr w:type="gram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к  терапии</w:t>
      </w:r>
      <w:proofErr w:type="gram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язвенной болезни желудка и 12 перстной кишки.</w:t>
      </w:r>
    </w:p>
    <w:p w:rsidR="007E7237" w:rsidRPr="00767BAB" w:rsidRDefault="007E7237" w:rsidP="007E7237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Клинико-фармакологические подходы к назначению Н</w:t>
      </w:r>
      <w:r w:rsidRPr="00767BAB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-гистаминоблокаторов.  Классификация, механизм действия, основные побочные эффекты, показания к назначению.</w:t>
      </w:r>
    </w:p>
    <w:p w:rsidR="003C637B" w:rsidRPr="00767BAB" w:rsidRDefault="003C637B" w:rsidP="003C637B">
      <w:pPr>
        <w:pStyle w:val="a5"/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hAnsi="Times New Roman" w:cs="Times New Roman"/>
          <w:kern w:val="16"/>
          <w:sz w:val="24"/>
          <w:szCs w:val="24"/>
          <w:lang w:val="ru-RU"/>
        </w:rPr>
        <w:t xml:space="preserve">Клинико-фармакологические подходы к назначению желчегонных и </w:t>
      </w:r>
      <w:proofErr w:type="spellStart"/>
      <w:r w:rsidRPr="00767BAB">
        <w:rPr>
          <w:rFonts w:ascii="Times New Roman" w:hAnsi="Times New Roman" w:cs="Times New Roman"/>
          <w:kern w:val="16"/>
          <w:sz w:val="24"/>
          <w:szCs w:val="24"/>
          <w:lang w:val="ru-RU"/>
        </w:rPr>
        <w:t>гепатопротективных</w:t>
      </w:r>
      <w:proofErr w:type="spellEnd"/>
      <w:r w:rsidRPr="00767BAB">
        <w:rPr>
          <w:rFonts w:ascii="Times New Roman" w:hAnsi="Times New Roman" w:cs="Times New Roman"/>
          <w:kern w:val="16"/>
          <w:sz w:val="24"/>
          <w:szCs w:val="24"/>
          <w:lang w:val="ru-RU"/>
        </w:rPr>
        <w:t xml:space="preserve"> препаратов. </w:t>
      </w:r>
      <w:proofErr w:type="spellStart"/>
      <w:r w:rsidRPr="00767BAB">
        <w:rPr>
          <w:rFonts w:ascii="Times New Roman" w:hAnsi="Times New Roman" w:cs="Times New Roman"/>
          <w:kern w:val="16"/>
          <w:sz w:val="24"/>
          <w:szCs w:val="24"/>
        </w:rPr>
        <w:t>Методы</w:t>
      </w:r>
      <w:proofErr w:type="spellEnd"/>
      <w:r w:rsidRPr="00767BAB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proofErr w:type="spellStart"/>
      <w:r w:rsidRPr="00767BAB">
        <w:rPr>
          <w:rFonts w:ascii="Times New Roman" w:hAnsi="Times New Roman" w:cs="Times New Roman"/>
          <w:kern w:val="16"/>
          <w:sz w:val="24"/>
          <w:szCs w:val="24"/>
        </w:rPr>
        <w:t>оценки</w:t>
      </w:r>
      <w:proofErr w:type="spellEnd"/>
      <w:r w:rsidRPr="00767BAB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proofErr w:type="spellStart"/>
      <w:r w:rsidRPr="00767BAB">
        <w:rPr>
          <w:rFonts w:ascii="Times New Roman" w:hAnsi="Times New Roman" w:cs="Times New Roman"/>
          <w:kern w:val="16"/>
          <w:sz w:val="24"/>
          <w:szCs w:val="24"/>
        </w:rPr>
        <w:t>эффективности</w:t>
      </w:r>
      <w:proofErr w:type="spellEnd"/>
      <w:r w:rsidRPr="00767BAB">
        <w:rPr>
          <w:rFonts w:ascii="Times New Roman" w:hAnsi="Times New Roman" w:cs="Times New Roman"/>
          <w:kern w:val="16"/>
          <w:sz w:val="24"/>
          <w:szCs w:val="24"/>
        </w:rPr>
        <w:t xml:space="preserve"> и </w:t>
      </w:r>
      <w:proofErr w:type="spellStart"/>
      <w:r w:rsidRPr="00767BAB">
        <w:rPr>
          <w:rFonts w:ascii="Times New Roman" w:hAnsi="Times New Roman" w:cs="Times New Roman"/>
          <w:kern w:val="16"/>
          <w:sz w:val="24"/>
          <w:szCs w:val="24"/>
        </w:rPr>
        <w:t>безопасности</w:t>
      </w:r>
      <w:proofErr w:type="spellEnd"/>
      <w:r w:rsidRPr="00767BAB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7E7237" w:rsidRPr="00767BAB" w:rsidRDefault="007E7237" w:rsidP="007E7237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Методы оценки эффективности и безопасности, особенности клинического применения муколитиков и отхаркивающих средств.</w:t>
      </w:r>
    </w:p>
    <w:p w:rsidR="007E7237" w:rsidRPr="00767BAB" w:rsidRDefault="007E7237" w:rsidP="007E7237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Сходства и различия в клинико-фармакологических подходах к лечению бронхиальной астмы и ХОБЛ.</w:t>
      </w:r>
    </w:p>
    <w:p w:rsidR="007E7237" w:rsidRPr="00767BAB" w:rsidRDefault="007E7237" w:rsidP="007E7237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Методы оценки эффективности и </w:t>
      </w:r>
      <w:proofErr w:type="gram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безопасности  фармакотерапии</w:t>
      </w:r>
      <w:proofErr w:type="gram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теофиллином.</w:t>
      </w:r>
    </w:p>
    <w:p w:rsidR="007E7237" w:rsidRPr="00767BAB" w:rsidRDefault="007E7237" w:rsidP="007E7237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клинико-фармакологические подходы к лечению ХСН. Применение дигоксина в клинической практике у больных с ХСН.</w:t>
      </w:r>
    </w:p>
    <w:p w:rsidR="00A169F1" w:rsidRPr="00767BAB" w:rsidRDefault="00A169F1" w:rsidP="00A169F1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Клинико-фармакологические подходы к диуретической терапии ХСН. Оценка эффективности и безопасности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тиазидных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диуретиков при терапии ХСН.</w:t>
      </w:r>
    </w:p>
    <w:p w:rsidR="007E7237" w:rsidRPr="00767BAB" w:rsidRDefault="007E7237" w:rsidP="007E7237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Оценка эффективности и безопасности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кардиоселективных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67BA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-адреноблокаторов при фармакотерапии ХСН</w:t>
      </w:r>
    </w:p>
    <w:p w:rsidR="00A169F1" w:rsidRPr="00767BAB" w:rsidRDefault="00A169F1" w:rsidP="00A169F1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Оценка эффективности и безопасности петлевых диуретиков при фармакотерапии отечного синдрома.</w:t>
      </w:r>
    </w:p>
    <w:p w:rsidR="00A169F1" w:rsidRPr="00767BAB" w:rsidRDefault="00A169F1" w:rsidP="00A169F1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Клиническая фармакология БМКК: классификация, механизм действия, основные фармакодинамические эффекты, фармакокинетические особенности, побочные эффекты, противопоказания к назначению. </w:t>
      </w:r>
    </w:p>
    <w:p w:rsidR="00A169F1" w:rsidRPr="00767BAB" w:rsidRDefault="00A169F1" w:rsidP="00A169F1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Нитраты: классификация, механизм действия, основные фармакодинамические </w:t>
      </w: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эффекты, фармакокинетические особенности, побочные эффекты, противопоказания к назначению. Применение при различных формах ИБС.</w:t>
      </w:r>
    </w:p>
    <w:p w:rsidR="003C637B" w:rsidRPr="00767BAB" w:rsidRDefault="003C637B" w:rsidP="003C637B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ИБС. Стабильная стенокардия.  Принципы выбора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антиангинальных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лекарственных для профилактики и купирования приступов стенокардии</w:t>
      </w:r>
    </w:p>
    <w:p w:rsidR="003C637B" w:rsidRPr="00767BAB" w:rsidRDefault="003C637B" w:rsidP="003C637B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Клинико-фармакологические подходы в лечении артериальной гипертензии. Принципы выбора гипотензивных лекарственных средств в зависимости от пола, возраста и сопутствующих заболеваний.</w:t>
      </w:r>
    </w:p>
    <w:p w:rsidR="00A169F1" w:rsidRPr="00767BAB" w:rsidRDefault="00A169F1" w:rsidP="00A169F1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Принципы выбора гипотензивных лекарственных средств в зависимости от уровня АД и степени риска кардиоваскулярных осложнений.</w:t>
      </w:r>
    </w:p>
    <w:p w:rsidR="00A169F1" w:rsidRPr="00767BAB" w:rsidRDefault="00A169F1" w:rsidP="00A169F1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Клинико-фармакологические подходы к назначению агонистов </w:t>
      </w:r>
      <w:proofErr w:type="gram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центральных  альфа</w:t>
      </w:r>
      <w:proofErr w:type="gram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и </w:t>
      </w:r>
      <w:r w:rsidRPr="00767BA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имидазолиновых рецепторов. Механизм действия и основные фармакодинамические эффекты, особенности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фармакокинетики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, показания к применению и режим дозирования</w:t>
      </w:r>
    </w:p>
    <w:p w:rsidR="00A169F1" w:rsidRPr="00767BAB" w:rsidRDefault="00A169F1" w:rsidP="00A169F1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Клинико-фармакологические подходы к применению АРА </w:t>
      </w:r>
      <w:r w:rsidRPr="00767BAB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Механизм действия, основные фармакодинамические эффекты. Оценка эффективности и безопасности при терапии АГ. </w:t>
      </w:r>
    </w:p>
    <w:p w:rsidR="00A169F1" w:rsidRDefault="00A169F1" w:rsidP="00A169F1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Клинико-фармакологические подходы к терапии артериальной </w:t>
      </w:r>
      <w:proofErr w:type="gram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гипертензии  у</w:t>
      </w:r>
      <w:proofErr w:type="gram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пациентов с почечной недостаточностью. Рациональные комбинации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антигипертензивных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препаратов.</w:t>
      </w:r>
    </w:p>
    <w:p w:rsidR="00E10848" w:rsidRPr="00767BAB" w:rsidRDefault="00E10848" w:rsidP="00A169F1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Фармакотерапия гипертонического криза.</w:t>
      </w:r>
    </w:p>
    <w:p w:rsidR="00A169F1" w:rsidRPr="00767BAB" w:rsidRDefault="00A169F1" w:rsidP="00A169F1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Клинико-фармакологические подходы к терапии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гиперлипидемий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. Комбинированная терапия.</w:t>
      </w:r>
    </w:p>
    <w:p w:rsidR="003C637B" w:rsidRPr="00767BAB" w:rsidRDefault="003C637B" w:rsidP="003C637B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Механизмы действия и основные фармакодинамические эффекты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статинов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. Оценка безопасности назначения.</w:t>
      </w:r>
    </w:p>
    <w:p w:rsidR="001366E4" w:rsidRPr="00767BAB" w:rsidRDefault="001366E4" w:rsidP="00A169F1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Клинико-фармакологические подходы к лечению нарушений сердечного ритма. Классификация антиаритмических препаратов. М</w:t>
      </w:r>
      <w:r w:rsidR="00767BAB"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еханиз</w:t>
      </w: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действия, особенности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фармакокинетики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. Оценка эффективности и безопасности антиаритмической терапии.</w:t>
      </w:r>
    </w:p>
    <w:p w:rsidR="001366E4" w:rsidRPr="00767BAB" w:rsidRDefault="001366E4" w:rsidP="001366E4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Методы оценки эффективности и безопасности амиодарона.</w:t>
      </w:r>
    </w:p>
    <w:p w:rsidR="00A169F1" w:rsidRPr="00767BAB" w:rsidRDefault="00A169F1" w:rsidP="00A169F1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Фармакодинамические эффекты и нежелательные лекарственные реакции новых пероральных антикоагулянтов. Противопоказания к применению.</w:t>
      </w:r>
    </w:p>
    <w:p w:rsidR="00A169F1" w:rsidRPr="00767BAB" w:rsidRDefault="00A169F1" w:rsidP="00A169F1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Клиническая фармакология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антиагрегантов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: классификация, механизм действия, показания и противопоказания к назначению.</w:t>
      </w:r>
    </w:p>
    <w:p w:rsidR="007E7237" w:rsidRPr="00767BAB" w:rsidRDefault="007E7237" w:rsidP="007E7237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Фармакодинамические эффекты глюкокортикостероидов. Виды и принципы </w:t>
      </w:r>
      <w:proofErr w:type="spellStart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глюкокортикостероидной</w:t>
      </w:r>
      <w:proofErr w:type="spellEnd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терапии, альтернирующая терапия, пульс-терапия.</w:t>
      </w:r>
    </w:p>
    <w:p w:rsidR="003C637B" w:rsidRPr="00767BAB" w:rsidRDefault="003C637B" w:rsidP="003C637B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Современная клиническая классификация НПВС. Методы оценки эффективности и безопасности нестероидных противовоспалительных средств при длительной фармакотерапии болевого синдрома</w:t>
      </w:r>
    </w:p>
    <w:p w:rsidR="001366E4" w:rsidRPr="00767BAB" w:rsidRDefault="001366E4" w:rsidP="001366E4">
      <w:pPr>
        <w:pStyle w:val="a5"/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hAnsi="Times New Roman" w:cs="Times New Roman"/>
          <w:kern w:val="16"/>
          <w:sz w:val="24"/>
          <w:szCs w:val="24"/>
          <w:lang w:val="ru-RU"/>
        </w:rPr>
      </w:pPr>
      <w:r w:rsidRPr="00767BAB">
        <w:rPr>
          <w:rFonts w:ascii="Times New Roman" w:hAnsi="Times New Roman" w:cs="Times New Roman"/>
          <w:kern w:val="16"/>
          <w:sz w:val="24"/>
          <w:szCs w:val="24"/>
          <w:lang w:val="ru-RU"/>
        </w:rPr>
        <w:t xml:space="preserve">Клинико-фармакологические подходы к назначению витаминов и </w:t>
      </w:r>
      <w:proofErr w:type="spellStart"/>
      <w:r w:rsidRPr="00767BAB">
        <w:rPr>
          <w:rFonts w:ascii="Times New Roman" w:hAnsi="Times New Roman" w:cs="Times New Roman"/>
          <w:kern w:val="16"/>
          <w:sz w:val="24"/>
          <w:szCs w:val="24"/>
          <w:lang w:val="ru-RU"/>
        </w:rPr>
        <w:t>коферментных</w:t>
      </w:r>
      <w:proofErr w:type="spellEnd"/>
      <w:r w:rsidRPr="00767BAB">
        <w:rPr>
          <w:rFonts w:ascii="Times New Roman" w:hAnsi="Times New Roman" w:cs="Times New Roman"/>
          <w:kern w:val="16"/>
          <w:sz w:val="24"/>
          <w:szCs w:val="24"/>
          <w:lang w:val="ru-RU"/>
        </w:rPr>
        <w:t xml:space="preserve"> препаратов.</w:t>
      </w:r>
    </w:p>
    <w:p w:rsidR="001366E4" w:rsidRPr="00767BAB" w:rsidRDefault="001366E4" w:rsidP="003C637B">
      <w:pPr>
        <w:widowControl w:val="0"/>
        <w:numPr>
          <w:ilvl w:val="0"/>
          <w:numId w:val="29"/>
        </w:numPr>
        <w:tabs>
          <w:tab w:val="righ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Принципы лечения алле</w:t>
      </w:r>
      <w:bookmarkStart w:id="0" w:name="_GoBack"/>
      <w:bookmarkEnd w:id="0"/>
      <w:r w:rsidRPr="00767BAB">
        <w:rPr>
          <w:rFonts w:ascii="Times New Roman" w:eastAsia="Times New Roman" w:hAnsi="Times New Roman" w:cs="Times New Roman"/>
          <w:sz w:val="24"/>
          <w:szCs w:val="24"/>
          <w:lang w:val="ru-RU"/>
        </w:rPr>
        <w:t>ргических заболеваний: крапивницы, ангионевротического отека, поллиноза, анафилактического шока.</w:t>
      </w:r>
    </w:p>
    <w:sectPr w:rsidR="001366E4" w:rsidRPr="00767BAB" w:rsidSect="00C05571">
      <w:pgSz w:w="11909" w:h="16834"/>
      <w:pgMar w:top="1440" w:right="1440" w:bottom="94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798" w:rsidRDefault="00E77798" w:rsidP="001366E4">
      <w:pPr>
        <w:spacing w:line="240" w:lineRule="auto"/>
      </w:pPr>
      <w:r>
        <w:separator/>
      </w:r>
    </w:p>
  </w:endnote>
  <w:endnote w:type="continuationSeparator" w:id="0">
    <w:p w:rsidR="00E77798" w:rsidRDefault="00E77798" w:rsidP="00136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798" w:rsidRDefault="00E77798" w:rsidP="001366E4">
      <w:pPr>
        <w:spacing w:line="240" w:lineRule="auto"/>
      </w:pPr>
      <w:r>
        <w:separator/>
      </w:r>
    </w:p>
  </w:footnote>
  <w:footnote w:type="continuationSeparator" w:id="0">
    <w:p w:rsidR="00E77798" w:rsidRDefault="00E77798" w:rsidP="001366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7633"/>
    <w:multiLevelType w:val="multilevel"/>
    <w:tmpl w:val="8F681A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4F0196"/>
    <w:multiLevelType w:val="multilevel"/>
    <w:tmpl w:val="05D070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3518E0"/>
    <w:multiLevelType w:val="multilevel"/>
    <w:tmpl w:val="08FE4A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3444ECC"/>
    <w:multiLevelType w:val="multilevel"/>
    <w:tmpl w:val="61F45A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A212A80"/>
    <w:multiLevelType w:val="multilevel"/>
    <w:tmpl w:val="4A3675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5486ECC"/>
    <w:multiLevelType w:val="hybridMultilevel"/>
    <w:tmpl w:val="991C38BC"/>
    <w:lvl w:ilvl="0" w:tplc="04DE3C68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D2C12"/>
    <w:multiLevelType w:val="multilevel"/>
    <w:tmpl w:val="BF327B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7C2093E"/>
    <w:multiLevelType w:val="multilevel"/>
    <w:tmpl w:val="885CB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8015CA4"/>
    <w:multiLevelType w:val="multilevel"/>
    <w:tmpl w:val="B6A43C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AEC50A5"/>
    <w:multiLevelType w:val="multilevel"/>
    <w:tmpl w:val="333C0D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CDD4B00"/>
    <w:multiLevelType w:val="hybridMultilevel"/>
    <w:tmpl w:val="C2FCEEEA"/>
    <w:lvl w:ilvl="0" w:tplc="CF7411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FC3CAF"/>
    <w:multiLevelType w:val="multilevel"/>
    <w:tmpl w:val="9060323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33BB479E"/>
    <w:multiLevelType w:val="multilevel"/>
    <w:tmpl w:val="CD12C4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CC921A1"/>
    <w:multiLevelType w:val="multilevel"/>
    <w:tmpl w:val="A38E24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18A0C85"/>
    <w:multiLevelType w:val="multilevel"/>
    <w:tmpl w:val="118229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30015B9"/>
    <w:multiLevelType w:val="multilevel"/>
    <w:tmpl w:val="3E7C7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3850C0E"/>
    <w:multiLevelType w:val="multilevel"/>
    <w:tmpl w:val="3432D2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3A6013D"/>
    <w:multiLevelType w:val="multilevel"/>
    <w:tmpl w:val="5E7669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4A70033"/>
    <w:multiLevelType w:val="multilevel"/>
    <w:tmpl w:val="B71C28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717794A"/>
    <w:multiLevelType w:val="multilevel"/>
    <w:tmpl w:val="E09697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7280A78"/>
    <w:multiLevelType w:val="multilevel"/>
    <w:tmpl w:val="9006AE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7850135"/>
    <w:multiLevelType w:val="multilevel"/>
    <w:tmpl w:val="0F4417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C0228AC"/>
    <w:multiLevelType w:val="multilevel"/>
    <w:tmpl w:val="03006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CBE5FD7"/>
    <w:multiLevelType w:val="multilevel"/>
    <w:tmpl w:val="224AD0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65C5199"/>
    <w:multiLevelType w:val="multilevel"/>
    <w:tmpl w:val="3EF6BB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AA71306"/>
    <w:multiLevelType w:val="multilevel"/>
    <w:tmpl w:val="0130E8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BE63E25"/>
    <w:multiLevelType w:val="multilevel"/>
    <w:tmpl w:val="3D3CB7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DA72B67"/>
    <w:multiLevelType w:val="multilevel"/>
    <w:tmpl w:val="85DA7C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17F1CFC"/>
    <w:multiLevelType w:val="multilevel"/>
    <w:tmpl w:val="85DA7C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1E31E73"/>
    <w:multiLevelType w:val="multilevel"/>
    <w:tmpl w:val="9B9C51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1EA0CC1"/>
    <w:multiLevelType w:val="multilevel"/>
    <w:tmpl w:val="F886D3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3AB5609"/>
    <w:multiLevelType w:val="multilevel"/>
    <w:tmpl w:val="9D322E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7E62AB0"/>
    <w:multiLevelType w:val="multilevel"/>
    <w:tmpl w:val="B6BCF6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68CF17FA"/>
    <w:multiLevelType w:val="multilevel"/>
    <w:tmpl w:val="F4BC99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E882144"/>
    <w:multiLevelType w:val="multilevel"/>
    <w:tmpl w:val="D84C7E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4151F28"/>
    <w:multiLevelType w:val="multilevel"/>
    <w:tmpl w:val="10E439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48601BB"/>
    <w:multiLevelType w:val="multilevel"/>
    <w:tmpl w:val="252A00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61C5F4C"/>
    <w:multiLevelType w:val="multilevel"/>
    <w:tmpl w:val="834C5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6DE7A19"/>
    <w:multiLevelType w:val="multilevel"/>
    <w:tmpl w:val="C896CB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833159C"/>
    <w:multiLevelType w:val="multilevel"/>
    <w:tmpl w:val="911C85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B541A6A"/>
    <w:multiLevelType w:val="multilevel"/>
    <w:tmpl w:val="EF8698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C4002D1"/>
    <w:multiLevelType w:val="multilevel"/>
    <w:tmpl w:val="7FAEA8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41"/>
  </w:num>
  <w:num w:numId="3">
    <w:abstractNumId w:val="27"/>
  </w:num>
  <w:num w:numId="4">
    <w:abstractNumId w:val="8"/>
  </w:num>
  <w:num w:numId="5">
    <w:abstractNumId w:val="21"/>
  </w:num>
  <w:num w:numId="6">
    <w:abstractNumId w:val="36"/>
  </w:num>
  <w:num w:numId="7">
    <w:abstractNumId w:val="23"/>
  </w:num>
  <w:num w:numId="8">
    <w:abstractNumId w:val="17"/>
  </w:num>
  <w:num w:numId="9">
    <w:abstractNumId w:val="25"/>
  </w:num>
  <w:num w:numId="10">
    <w:abstractNumId w:val="3"/>
  </w:num>
  <w:num w:numId="11">
    <w:abstractNumId w:val="34"/>
  </w:num>
  <w:num w:numId="12">
    <w:abstractNumId w:val="11"/>
  </w:num>
  <w:num w:numId="13">
    <w:abstractNumId w:val="33"/>
  </w:num>
  <w:num w:numId="14">
    <w:abstractNumId w:val="39"/>
  </w:num>
  <w:num w:numId="15">
    <w:abstractNumId w:val="13"/>
  </w:num>
  <w:num w:numId="16">
    <w:abstractNumId w:val="7"/>
  </w:num>
  <w:num w:numId="17">
    <w:abstractNumId w:val="14"/>
  </w:num>
  <w:num w:numId="18">
    <w:abstractNumId w:val="1"/>
  </w:num>
  <w:num w:numId="19">
    <w:abstractNumId w:val="38"/>
  </w:num>
  <w:num w:numId="20">
    <w:abstractNumId w:val="9"/>
  </w:num>
  <w:num w:numId="21">
    <w:abstractNumId w:val="6"/>
  </w:num>
  <w:num w:numId="22">
    <w:abstractNumId w:val="31"/>
  </w:num>
  <w:num w:numId="23">
    <w:abstractNumId w:val="32"/>
  </w:num>
  <w:num w:numId="24">
    <w:abstractNumId w:val="0"/>
  </w:num>
  <w:num w:numId="25">
    <w:abstractNumId w:val="22"/>
  </w:num>
  <w:num w:numId="26">
    <w:abstractNumId w:val="2"/>
  </w:num>
  <w:num w:numId="27">
    <w:abstractNumId w:val="37"/>
  </w:num>
  <w:num w:numId="28">
    <w:abstractNumId w:val="16"/>
  </w:num>
  <w:num w:numId="29">
    <w:abstractNumId w:val="29"/>
  </w:num>
  <w:num w:numId="30">
    <w:abstractNumId w:val="30"/>
  </w:num>
  <w:num w:numId="31">
    <w:abstractNumId w:val="35"/>
  </w:num>
  <w:num w:numId="32">
    <w:abstractNumId w:val="4"/>
  </w:num>
  <w:num w:numId="33">
    <w:abstractNumId w:val="20"/>
  </w:num>
  <w:num w:numId="34">
    <w:abstractNumId w:val="19"/>
  </w:num>
  <w:num w:numId="35">
    <w:abstractNumId w:val="40"/>
  </w:num>
  <w:num w:numId="36">
    <w:abstractNumId w:val="15"/>
  </w:num>
  <w:num w:numId="37">
    <w:abstractNumId w:val="24"/>
  </w:num>
  <w:num w:numId="38">
    <w:abstractNumId w:val="12"/>
  </w:num>
  <w:num w:numId="39">
    <w:abstractNumId w:val="26"/>
  </w:num>
  <w:num w:numId="40">
    <w:abstractNumId w:val="28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59"/>
    <w:rsid w:val="000F31BE"/>
    <w:rsid w:val="001366E4"/>
    <w:rsid w:val="001E2626"/>
    <w:rsid w:val="001F2C27"/>
    <w:rsid w:val="00251317"/>
    <w:rsid w:val="002A5181"/>
    <w:rsid w:val="003C637B"/>
    <w:rsid w:val="003F4E59"/>
    <w:rsid w:val="004A578F"/>
    <w:rsid w:val="00574626"/>
    <w:rsid w:val="006D78A4"/>
    <w:rsid w:val="00767BAB"/>
    <w:rsid w:val="007E7237"/>
    <w:rsid w:val="0084616B"/>
    <w:rsid w:val="00A169F1"/>
    <w:rsid w:val="00AC3098"/>
    <w:rsid w:val="00B84E8E"/>
    <w:rsid w:val="00BB6AE3"/>
    <w:rsid w:val="00C05571"/>
    <w:rsid w:val="00E10848"/>
    <w:rsid w:val="00E77798"/>
    <w:rsid w:val="00E9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B615"/>
  <w15:docId w15:val="{2DF0A20C-385A-4E13-AB03-51E677E3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571"/>
  </w:style>
  <w:style w:type="paragraph" w:styleId="1">
    <w:name w:val="heading 1"/>
    <w:basedOn w:val="a"/>
    <w:next w:val="a"/>
    <w:uiPriority w:val="9"/>
    <w:qFormat/>
    <w:rsid w:val="00C0557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C0557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0557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0557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0557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0557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055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0557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0557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1E2626"/>
    <w:pPr>
      <w:ind w:left="720"/>
      <w:contextualSpacing/>
    </w:pPr>
  </w:style>
  <w:style w:type="paragraph" w:styleId="a6">
    <w:name w:val="Body Text"/>
    <w:basedOn w:val="a"/>
    <w:link w:val="a7"/>
    <w:unhideWhenUsed/>
    <w:rsid w:val="00AC3098"/>
    <w:pPr>
      <w:tabs>
        <w:tab w:val="left" w:pos="360"/>
      </w:tabs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/>
    </w:rPr>
  </w:style>
  <w:style w:type="character" w:customStyle="1" w:styleId="a7">
    <w:name w:val="Основной текст Знак"/>
    <w:basedOn w:val="a0"/>
    <w:link w:val="a6"/>
    <w:rsid w:val="00AC3098"/>
    <w:rPr>
      <w:rFonts w:ascii="Times New Roman" w:eastAsia="Times New Roman" w:hAnsi="Times New Roman" w:cs="Times New Roman"/>
      <w:sz w:val="28"/>
      <w:szCs w:val="20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1366E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366E4"/>
  </w:style>
  <w:style w:type="paragraph" w:styleId="aa">
    <w:name w:val="footer"/>
    <w:basedOn w:val="a"/>
    <w:link w:val="ab"/>
    <w:uiPriority w:val="99"/>
    <w:semiHidden/>
    <w:unhideWhenUsed/>
    <w:rsid w:val="001366E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435A8-0D22-FF4B-B3B4-84C1DE17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Кургузова</cp:lastModifiedBy>
  <cp:revision>2</cp:revision>
  <dcterms:created xsi:type="dcterms:W3CDTF">2021-04-14T12:43:00Z</dcterms:created>
  <dcterms:modified xsi:type="dcterms:W3CDTF">2021-04-14T12:43:00Z</dcterms:modified>
</cp:coreProperties>
</file>