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609" w:rsidRDefault="00996609" w:rsidP="00996609">
      <w:pPr>
        <w:tabs>
          <w:tab w:val="left" w:pos="6096"/>
        </w:tabs>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Ministry of Health of the Russian Federation</w:t>
      </w:r>
    </w:p>
    <w:p w:rsidR="00996609" w:rsidRDefault="00996609" w:rsidP="00996609">
      <w:pPr>
        <w:spacing w:after="0" w:line="240" w:lineRule="auto"/>
        <w:ind w:right="-144"/>
        <w:jc w:val="center"/>
        <w:rPr>
          <w:rFonts w:ascii="Times New Roman" w:hAnsi="Times New Roman"/>
          <w:sz w:val="24"/>
          <w:szCs w:val="24"/>
          <w:lang w:val="en-US"/>
        </w:rPr>
      </w:pPr>
      <w:r>
        <w:rPr>
          <w:rFonts w:ascii="Times New Roman" w:hAnsi="Times New Roman"/>
          <w:sz w:val="24"/>
          <w:szCs w:val="24"/>
          <w:lang w:val="en-US"/>
        </w:rPr>
        <w:t>Federal State Autonomous Educational Institution of Higher Education</w:t>
      </w:r>
    </w:p>
    <w:p w:rsidR="00996609" w:rsidRPr="00417C45" w:rsidRDefault="00996609" w:rsidP="00996609">
      <w:pPr>
        <w:spacing w:after="0" w:line="240" w:lineRule="auto"/>
        <w:jc w:val="center"/>
        <w:outlineLvl w:val="0"/>
        <w:rPr>
          <w:rFonts w:ascii="Times New Roman" w:hAnsi="Times New Roman"/>
          <w:b/>
          <w:sz w:val="24"/>
          <w:szCs w:val="24"/>
          <w:lang w:val="en-US"/>
        </w:rPr>
      </w:pPr>
      <w:r>
        <w:rPr>
          <w:rFonts w:ascii="Times New Roman" w:hAnsi="Times New Roman"/>
          <w:b/>
          <w:sz w:val="24"/>
          <w:szCs w:val="24"/>
          <w:lang w:val="en-US"/>
        </w:rPr>
        <w:t>I.M. SECHENOV FIRST MOSCOW STATE MEDICAL UNIVERSITY</w:t>
      </w:r>
    </w:p>
    <w:p w:rsidR="00996609" w:rsidRDefault="00996609" w:rsidP="00996609">
      <w:pPr>
        <w:spacing w:after="0" w:line="240" w:lineRule="auto"/>
        <w:jc w:val="center"/>
        <w:outlineLvl w:val="0"/>
        <w:rPr>
          <w:rFonts w:ascii="Times New Roman" w:hAnsi="Times New Roman"/>
          <w:b/>
          <w:sz w:val="24"/>
          <w:szCs w:val="24"/>
          <w:lang w:val="en-US"/>
        </w:rPr>
      </w:pPr>
      <w:r>
        <w:rPr>
          <w:rFonts w:ascii="Times New Roman" w:hAnsi="Times New Roman"/>
          <w:b/>
          <w:sz w:val="24"/>
          <w:szCs w:val="24"/>
          <w:lang w:val="en-US"/>
        </w:rPr>
        <w:t>(Sechenov University)</w:t>
      </w:r>
    </w:p>
    <w:p w:rsidR="00996609" w:rsidRDefault="00996609" w:rsidP="00996609">
      <w:pPr>
        <w:spacing w:after="0" w:line="240" w:lineRule="auto"/>
        <w:rPr>
          <w:rFonts w:ascii="Times New Roman" w:hAnsi="Times New Roman"/>
          <w:sz w:val="24"/>
          <w:szCs w:val="24"/>
          <w:lang w:val="en-US"/>
        </w:rPr>
      </w:pPr>
    </w:p>
    <w:p w:rsidR="00996609" w:rsidRDefault="00996609" w:rsidP="00996609">
      <w:pPr>
        <w:widowControl w:val="0"/>
        <w:spacing w:after="0" w:line="240" w:lineRule="auto"/>
        <w:jc w:val="center"/>
        <w:rPr>
          <w:rFonts w:ascii="Times New Roman" w:hAnsi="Times New Roman"/>
          <w:b/>
          <w:sz w:val="24"/>
          <w:szCs w:val="24"/>
          <w:lang w:val="en-US" w:eastAsia="ru-RU"/>
        </w:rPr>
      </w:pPr>
    </w:p>
    <w:p w:rsidR="00996609" w:rsidRDefault="00996609" w:rsidP="00996609">
      <w:pPr>
        <w:widowControl w:val="0"/>
        <w:tabs>
          <w:tab w:val="right" w:leader="underscore" w:pos="8505"/>
        </w:tabs>
        <w:spacing w:after="0" w:line="240" w:lineRule="auto"/>
        <w:jc w:val="center"/>
        <w:outlineLvl w:val="0"/>
        <w:rPr>
          <w:rFonts w:ascii="Times New Roman" w:hAnsi="Times New Roman"/>
          <w:bCs/>
          <w:sz w:val="24"/>
          <w:szCs w:val="24"/>
          <w:lang w:val="en-US"/>
        </w:rPr>
      </w:pPr>
      <w:r>
        <w:rPr>
          <w:rFonts w:ascii="Times New Roman" w:hAnsi="Times New Roman"/>
          <w:bCs/>
          <w:sz w:val="24"/>
          <w:szCs w:val="24"/>
          <w:lang w:val="en-US"/>
        </w:rPr>
        <w:t>ANNOTATION OF THE DISCIPLINE PROGRAM</w:t>
      </w:r>
    </w:p>
    <w:p w:rsidR="00996609" w:rsidRDefault="00996609" w:rsidP="00996609">
      <w:pPr>
        <w:widowControl w:val="0"/>
        <w:spacing w:after="0" w:line="240" w:lineRule="auto"/>
        <w:jc w:val="center"/>
        <w:outlineLvl w:val="0"/>
        <w:rPr>
          <w:rFonts w:ascii="Times New Roman" w:hAnsi="Times New Roman"/>
          <w:b/>
          <w:bCs/>
          <w:sz w:val="24"/>
          <w:szCs w:val="24"/>
          <w:u w:val="single"/>
          <w:lang w:val="en-US"/>
        </w:rPr>
      </w:pPr>
      <w:r>
        <w:rPr>
          <w:rFonts w:ascii="Times New Roman" w:hAnsi="Times New Roman"/>
          <w:bCs/>
          <w:sz w:val="24"/>
          <w:szCs w:val="24"/>
          <w:u w:val="single"/>
          <w:lang w:val="en-US"/>
        </w:rPr>
        <w:t>«</w:t>
      </w:r>
      <w:r>
        <w:rPr>
          <w:rFonts w:ascii="Times New Roman" w:hAnsi="Times New Roman"/>
          <w:b/>
          <w:bCs/>
          <w:sz w:val="24"/>
          <w:szCs w:val="24"/>
          <w:u w:val="single"/>
          <w:lang w:val="en-US"/>
        </w:rPr>
        <w:t>Hospital Medicine</w:t>
      </w:r>
      <w:r>
        <w:rPr>
          <w:rFonts w:ascii="Times New Roman" w:hAnsi="Times New Roman"/>
          <w:bCs/>
          <w:sz w:val="24"/>
          <w:szCs w:val="24"/>
          <w:u w:val="single"/>
          <w:lang w:val="en-US"/>
        </w:rPr>
        <w:t>»</w:t>
      </w:r>
    </w:p>
    <w:p w:rsidR="00996609" w:rsidRDefault="00996609" w:rsidP="00996609">
      <w:pPr>
        <w:widowControl w:val="0"/>
        <w:spacing w:after="0" w:line="240" w:lineRule="auto"/>
        <w:jc w:val="center"/>
        <w:outlineLvl w:val="0"/>
        <w:rPr>
          <w:rFonts w:ascii="Times New Roman" w:hAnsi="Times New Roman"/>
          <w:bCs/>
          <w:sz w:val="24"/>
          <w:szCs w:val="24"/>
          <w:lang w:val="en-US"/>
        </w:rPr>
      </w:pPr>
      <w:r>
        <w:rPr>
          <w:rFonts w:ascii="Times New Roman" w:hAnsi="Times New Roman"/>
          <w:bCs/>
          <w:sz w:val="24"/>
          <w:szCs w:val="24"/>
          <w:lang w:val="en-US"/>
        </w:rPr>
        <w:t>(</w:t>
      </w:r>
      <w:r>
        <w:rPr>
          <w:rFonts w:ascii="Times New Roman" w:hAnsi="Times New Roman"/>
          <w:bCs/>
          <w:i/>
          <w:sz w:val="24"/>
          <w:szCs w:val="24"/>
          <w:lang w:val="en-US"/>
        </w:rPr>
        <w:t>name of the discipline</w:t>
      </w:r>
      <w:r>
        <w:rPr>
          <w:rFonts w:ascii="Times New Roman" w:hAnsi="Times New Roman"/>
          <w:bCs/>
          <w:sz w:val="24"/>
          <w:szCs w:val="24"/>
          <w:lang w:val="en-US"/>
        </w:rPr>
        <w:t>)</w:t>
      </w:r>
    </w:p>
    <w:p w:rsidR="00996609" w:rsidRDefault="00996609" w:rsidP="00996609">
      <w:pPr>
        <w:widowControl w:val="0"/>
        <w:spacing w:after="0" w:line="240" w:lineRule="auto"/>
        <w:jc w:val="center"/>
        <w:rPr>
          <w:rFonts w:ascii="Times New Roman" w:hAnsi="Times New Roman"/>
          <w:b/>
          <w:sz w:val="24"/>
          <w:szCs w:val="24"/>
          <w:lang w:val="en-US" w:eastAsia="ru-RU"/>
        </w:rPr>
      </w:pPr>
    </w:p>
    <w:p w:rsidR="00996609" w:rsidRDefault="00996609" w:rsidP="00996609">
      <w:pPr>
        <w:widowControl w:val="0"/>
        <w:rPr>
          <w:rFonts w:ascii="Times New Roman" w:hAnsi="Times New Roman"/>
          <w:sz w:val="24"/>
          <w:szCs w:val="24"/>
          <w:u w:val="single"/>
          <w:lang w:val="en-US" w:eastAsia="ru-RU"/>
        </w:rPr>
      </w:pPr>
      <w:r>
        <w:rPr>
          <w:rFonts w:ascii="Times New Roman" w:hAnsi="Times New Roman"/>
          <w:bCs/>
          <w:sz w:val="24"/>
          <w:szCs w:val="24"/>
          <w:lang w:val="en-US"/>
        </w:rPr>
        <w:t>Area of training (spe</w:t>
      </w:r>
      <w:r>
        <w:rPr>
          <w:rFonts w:ascii="Times New Roman" w:hAnsi="Times New Roman"/>
          <w:bCs/>
          <w:sz w:val="24"/>
          <w:szCs w:val="24"/>
        </w:rPr>
        <w:t>с</w:t>
      </w:r>
      <w:r>
        <w:rPr>
          <w:rFonts w:ascii="Times New Roman" w:hAnsi="Times New Roman"/>
          <w:bCs/>
          <w:sz w:val="24"/>
          <w:szCs w:val="24"/>
          <w:lang w:val="en-US"/>
        </w:rPr>
        <w:t xml:space="preserve">iality) </w:t>
      </w:r>
      <w:r>
        <w:rPr>
          <w:rFonts w:ascii="Times New Roman" w:hAnsi="Times New Roman"/>
          <w:sz w:val="24"/>
          <w:szCs w:val="24"/>
          <w:u w:val="single"/>
          <w:lang w:val="en-US" w:eastAsia="ru-RU"/>
        </w:rPr>
        <w:t xml:space="preserve">31.05.01 General Medicine </w:t>
      </w:r>
    </w:p>
    <w:p w:rsidR="00996609" w:rsidRDefault="00996609" w:rsidP="00996609">
      <w:pPr>
        <w:widowControl w:val="0"/>
        <w:tabs>
          <w:tab w:val="right" w:leader="underscore" w:pos="8505"/>
        </w:tabs>
        <w:jc w:val="both"/>
        <w:outlineLvl w:val="0"/>
        <w:rPr>
          <w:rFonts w:ascii="Times New Roman" w:hAnsi="Times New Roman"/>
          <w:bCs/>
          <w:sz w:val="24"/>
          <w:szCs w:val="24"/>
          <w:lang w:val="en-US"/>
        </w:rPr>
      </w:pPr>
      <w:r>
        <w:rPr>
          <w:rFonts w:ascii="Times New Roman" w:hAnsi="Times New Roman"/>
          <w:bCs/>
          <w:sz w:val="24"/>
          <w:szCs w:val="24"/>
          <w:lang w:val="en-US"/>
        </w:rPr>
        <w:t xml:space="preserve">Scope of the discipline </w:t>
      </w:r>
      <w:r>
        <w:rPr>
          <w:rFonts w:ascii="Times New Roman" w:hAnsi="Times New Roman"/>
          <w:bCs/>
          <w:sz w:val="24"/>
          <w:szCs w:val="24"/>
          <w:u w:val="single"/>
          <w:lang w:val="en-US"/>
        </w:rPr>
        <w:t>__________12 ________</w:t>
      </w:r>
      <w:r>
        <w:rPr>
          <w:rFonts w:ascii="Times New Roman" w:hAnsi="Times New Roman"/>
          <w:bCs/>
          <w:sz w:val="24"/>
          <w:szCs w:val="24"/>
          <w:lang w:val="en-US"/>
        </w:rPr>
        <w:t xml:space="preserve"> credit units</w:t>
      </w:r>
    </w:p>
    <w:p w:rsidR="0056346C" w:rsidRPr="00996609" w:rsidRDefault="0056346C" w:rsidP="0056346C">
      <w:pPr>
        <w:widowControl w:val="0"/>
        <w:tabs>
          <w:tab w:val="clear" w:pos="708"/>
          <w:tab w:val="left" w:pos="709"/>
        </w:tabs>
        <w:spacing w:after="0" w:line="240" w:lineRule="auto"/>
        <w:rPr>
          <w:rFonts w:ascii="Arial" w:hAnsi="Arial"/>
          <w:bCs/>
          <w:sz w:val="24"/>
          <w:szCs w:val="24"/>
          <w:lang w:val="en-US"/>
        </w:rPr>
      </w:pPr>
    </w:p>
    <w:p w:rsidR="00E47C66" w:rsidRPr="00996609" w:rsidRDefault="00E47C66" w:rsidP="0056346C">
      <w:pPr>
        <w:widowControl w:val="0"/>
        <w:tabs>
          <w:tab w:val="clear" w:pos="708"/>
          <w:tab w:val="right" w:leader="underscore" w:pos="8505"/>
        </w:tabs>
        <w:spacing w:after="0" w:line="240" w:lineRule="auto"/>
        <w:jc w:val="both"/>
        <w:outlineLvl w:val="0"/>
        <w:rPr>
          <w:rFonts w:ascii="Arial" w:hAnsi="Arial" w:cs="Arial"/>
          <w:bCs/>
          <w:sz w:val="24"/>
          <w:szCs w:val="24"/>
          <w:lang w:val="en-US"/>
        </w:rPr>
      </w:pPr>
    </w:p>
    <w:p w:rsidR="00E47C66" w:rsidRPr="006D5C50" w:rsidRDefault="00996609" w:rsidP="006D5C50">
      <w:pPr>
        <w:widowControl w:val="0"/>
        <w:tabs>
          <w:tab w:val="clear" w:pos="708"/>
          <w:tab w:val="left" w:pos="709"/>
        </w:tabs>
        <w:spacing w:after="0" w:line="240" w:lineRule="auto"/>
        <w:jc w:val="both"/>
        <w:rPr>
          <w:rFonts w:ascii="Times New Roman" w:hAnsi="Times New Roman"/>
          <w:b/>
          <w:bCs/>
          <w:sz w:val="24"/>
          <w:szCs w:val="24"/>
        </w:rPr>
      </w:pPr>
      <w:r>
        <w:rPr>
          <w:rFonts w:ascii="Times New Roman" w:hAnsi="Times New Roman"/>
          <w:b/>
          <w:sz w:val="24"/>
          <w:szCs w:val="24"/>
          <w:lang w:val="en-US"/>
        </w:rPr>
        <w:t>Goals</w:t>
      </w:r>
      <w:r w:rsidRPr="00996609">
        <w:rPr>
          <w:rFonts w:ascii="Times New Roman" w:hAnsi="Times New Roman"/>
          <w:b/>
          <w:sz w:val="24"/>
          <w:szCs w:val="24"/>
        </w:rPr>
        <w:t xml:space="preserve"> </w:t>
      </w:r>
      <w:r>
        <w:rPr>
          <w:rFonts w:ascii="Times New Roman" w:hAnsi="Times New Roman"/>
          <w:b/>
          <w:sz w:val="24"/>
          <w:szCs w:val="24"/>
          <w:lang w:val="en-US"/>
        </w:rPr>
        <w:t>of</w:t>
      </w:r>
      <w:r w:rsidRPr="00996609">
        <w:rPr>
          <w:rFonts w:ascii="Times New Roman" w:hAnsi="Times New Roman"/>
          <w:b/>
          <w:sz w:val="24"/>
          <w:szCs w:val="24"/>
        </w:rPr>
        <w:t xml:space="preserve"> </w:t>
      </w:r>
      <w:r>
        <w:rPr>
          <w:rFonts w:ascii="Times New Roman" w:hAnsi="Times New Roman"/>
          <w:b/>
          <w:sz w:val="24"/>
          <w:szCs w:val="24"/>
          <w:lang w:val="en-US"/>
        </w:rPr>
        <w:t>the</w:t>
      </w:r>
      <w:r w:rsidRPr="00996609">
        <w:rPr>
          <w:rFonts w:ascii="Times New Roman" w:hAnsi="Times New Roman"/>
          <w:b/>
          <w:sz w:val="24"/>
          <w:szCs w:val="24"/>
        </w:rPr>
        <w:t xml:space="preserve"> </w:t>
      </w:r>
      <w:r>
        <w:rPr>
          <w:rFonts w:ascii="Times New Roman" w:hAnsi="Times New Roman"/>
          <w:b/>
          <w:sz w:val="24"/>
          <w:szCs w:val="24"/>
          <w:lang w:val="en-US"/>
        </w:rPr>
        <w:t>discipline</w:t>
      </w:r>
      <w:r w:rsidR="00E47C66" w:rsidRPr="006D5C50">
        <w:rPr>
          <w:rFonts w:ascii="Times New Roman" w:hAnsi="Times New Roman"/>
          <w:b/>
          <w:bCs/>
          <w:sz w:val="24"/>
          <w:szCs w:val="24"/>
        </w:rPr>
        <w:t>:</w:t>
      </w:r>
    </w:p>
    <w:p w:rsidR="0056346C" w:rsidRDefault="00996609" w:rsidP="006D5C50">
      <w:pPr>
        <w:tabs>
          <w:tab w:val="num" w:pos="1080"/>
        </w:tabs>
        <w:spacing w:after="0" w:line="240" w:lineRule="auto"/>
        <w:jc w:val="both"/>
        <w:rPr>
          <w:rFonts w:ascii="Times New Roman" w:hAnsi="Times New Roman"/>
          <w:sz w:val="24"/>
          <w:szCs w:val="24"/>
          <w:lang w:val="en-US"/>
        </w:rPr>
      </w:pPr>
      <w:r w:rsidRPr="00996609">
        <w:rPr>
          <w:rFonts w:ascii="Times New Roman" w:hAnsi="Times New Roman"/>
          <w:sz w:val="24"/>
          <w:szCs w:val="24"/>
          <w:lang w:val="en-US"/>
        </w:rPr>
        <w:t xml:space="preserve">Completion of the educational program </w:t>
      </w:r>
      <w:r>
        <w:rPr>
          <w:rFonts w:ascii="Times New Roman" w:hAnsi="Times New Roman"/>
          <w:sz w:val="24"/>
          <w:szCs w:val="24"/>
          <w:lang w:val="en-US"/>
        </w:rPr>
        <w:t>in</w:t>
      </w:r>
      <w:r w:rsidRPr="00996609">
        <w:rPr>
          <w:rFonts w:ascii="Times New Roman" w:hAnsi="Times New Roman"/>
          <w:sz w:val="24"/>
          <w:szCs w:val="24"/>
          <w:lang w:val="en-US"/>
        </w:rPr>
        <w:t xml:space="preserve"> General Medicine; preparation for therapeutic and preventive work under the supervision of a general practitioner; preparation for the continuation of postgraduate education.</w:t>
      </w:r>
    </w:p>
    <w:p w:rsidR="00996609" w:rsidRPr="00996609" w:rsidRDefault="00996609" w:rsidP="006D5C50">
      <w:pPr>
        <w:tabs>
          <w:tab w:val="num" w:pos="1080"/>
        </w:tabs>
        <w:spacing w:after="0" w:line="240" w:lineRule="auto"/>
        <w:jc w:val="both"/>
        <w:rPr>
          <w:rFonts w:ascii="Times New Roman" w:hAnsi="Times New Roman"/>
          <w:b/>
          <w:sz w:val="24"/>
          <w:szCs w:val="24"/>
          <w:lang w:val="en-US"/>
        </w:rPr>
      </w:pPr>
    </w:p>
    <w:p w:rsidR="00E47C66" w:rsidRPr="00996609" w:rsidRDefault="00996609" w:rsidP="006D5C50">
      <w:pPr>
        <w:tabs>
          <w:tab w:val="num" w:pos="1080"/>
        </w:tabs>
        <w:spacing w:after="0" w:line="240" w:lineRule="auto"/>
        <w:jc w:val="both"/>
        <w:rPr>
          <w:rFonts w:ascii="Times New Roman" w:hAnsi="Times New Roman"/>
          <w:sz w:val="24"/>
          <w:szCs w:val="24"/>
          <w:lang w:val="en-US"/>
        </w:rPr>
      </w:pPr>
      <w:r>
        <w:rPr>
          <w:rFonts w:ascii="Times New Roman" w:hAnsi="Times New Roman"/>
          <w:b/>
          <w:sz w:val="24"/>
          <w:szCs w:val="24"/>
          <w:lang w:val="en-US"/>
        </w:rPr>
        <w:t>Objectives</w:t>
      </w:r>
      <w:r w:rsidRPr="00996609">
        <w:rPr>
          <w:rFonts w:ascii="Times New Roman" w:hAnsi="Times New Roman"/>
          <w:b/>
          <w:sz w:val="24"/>
          <w:szCs w:val="24"/>
          <w:lang w:val="en-US"/>
        </w:rPr>
        <w:t xml:space="preserve"> </w:t>
      </w:r>
      <w:r>
        <w:rPr>
          <w:rFonts w:ascii="Times New Roman" w:hAnsi="Times New Roman"/>
          <w:b/>
          <w:sz w:val="24"/>
          <w:szCs w:val="24"/>
          <w:lang w:val="en-US"/>
        </w:rPr>
        <w:t>of</w:t>
      </w:r>
      <w:r w:rsidRPr="00996609">
        <w:rPr>
          <w:rFonts w:ascii="Times New Roman" w:hAnsi="Times New Roman"/>
          <w:b/>
          <w:sz w:val="24"/>
          <w:szCs w:val="24"/>
          <w:lang w:val="en-US"/>
        </w:rPr>
        <w:t xml:space="preserve"> </w:t>
      </w:r>
      <w:r>
        <w:rPr>
          <w:rFonts w:ascii="Times New Roman" w:hAnsi="Times New Roman"/>
          <w:b/>
          <w:sz w:val="24"/>
          <w:szCs w:val="24"/>
          <w:lang w:val="en-US"/>
        </w:rPr>
        <w:t>the</w:t>
      </w:r>
      <w:r w:rsidRPr="00996609">
        <w:rPr>
          <w:rFonts w:ascii="Times New Roman" w:hAnsi="Times New Roman"/>
          <w:b/>
          <w:sz w:val="24"/>
          <w:szCs w:val="24"/>
          <w:lang w:val="en-US"/>
        </w:rPr>
        <w:t xml:space="preserve"> </w:t>
      </w:r>
      <w:r>
        <w:rPr>
          <w:rFonts w:ascii="Times New Roman" w:hAnsi="Times New Roman"/>
          <w:b/>
          <w:sz w:val="24"/>
          <w:szCs w:val="24"/>
          <w:lang w:val="en-US"/>
        </w:rPr>
        <w:t>discipline</w:t>
      </w:r>
      <w:r w:rsidR="00E47C66" w:rsidRPr="00996609">
        <w:rPr>
          <w:rFonts w:ascii="Times New Roman" w:hAnsi="Times New Roman"/>
          <w:b/>
          <w:sz w:val="24"/>
          <w:szCs w:val="24"/>
          <w:lang w:val="en-US"/>
        </w:rPr>
        <w:t>:</w:t>
      </w:r>
      <w:r w:rsidR="00E47C66" w:rsidRPr="00996609">
        <w:rPr>
          <w:rFonts w:ascii="Times New Roman" w:hAnsi="Times New Roman"/>
          <w:sz w:val="24"/>
          <w:szCs w:val="24"/>
          <w:lang w:val="en-US"/>
        </w:rPr>
        <w:t xml:space="preserve"> </w:t>
      </w:r>
      <w:r w:rsidRPr="00996609">
        <w:rPr>
          <w:rFonts w:ascii="Times New Roman" w:hAnsi="Times New Roman"/>
          <w:sz w:val="24"/>
          <w:szCs w:val="24"/>
          <w:lang w:val="en-US"/>
        </w:rPr>
        <w:t>Formation of the following skills of students: statement of the patient deployed individualized clinical diagnosis; assignments and treatment and secondary prophylaxis for the most common diseases (see thematic plans for lectures and practical exercises pp; setting up a preliminary diagnosis for the patient followed by referral to a specialist for relatively rare diseases (see the thematic plan for pct lectures; diagnostics and therapy of the most dangerous emergency conditions; diagnostic search (differential diagnosis) for the most common syndromes.</w:t>
      </w:r>
    </w:p>
    <w:p w:rsidR="0056346C" w:rsidRPr="00996609" w:rsidRDefault="0056346C" w:rsidP="006D5C50">
      <w:pPr>
        <w:widowControl w:val="0"/>
        <w:tabs>
          <w:tab w:val="clear" w:pos="708"/>
          <w:tab w:val="left" w:pos="709"/>
        </w:tabs>
        <w:spacing w:after="0" w:line="240" w:lineRule="auto"/>
        <w:jc w:val="both"/>
        <w:rPr>
          <w:rFonts w:ascii="Times New Roman" w:hAnsi="Times New Roman"/>
          <w:b/>
          <w:bCs/>
          <w:sz w:val="24"/>
          <w:szCs w:val="24"/>
          <w:lang w:val="en-US"/>
        </w:rPr>
      </w:pPr>
    </w:p>
    <w:p w:rsidR="00996609" w:rsidRPr="004661BF" w:rsidRDefault="00996609" w:rsidP="00996609">
      <w:pPr>
        <w:widowControl w:val="0"/>
        <w:tabs>
          <w:tab w:val="clear" w:pos="708"/>
          <w:tab w:val="left" w:pos="709"/>
        </w:tabs>
        <w:spacing w:after="0" w:line="240" w:lineRule="auto"/>
        <w:rPr>
          <w:rFonts w:ascii="Times New Roman" w:hAnsi="Times New Roman"/>
          <w:b/>
          <w:bCs/>
          <w:sz w:val="24"/>
          <w:szCs w:val="24"/>
          <w:lang w:val="en-US"/>
        </w:rPr>
      </w:pPr>
      <w:r>
        <w:rPr>
          <w:rFonts w:ascii="Times New Roman" w:hAnsi="Times New Roman"/>
          <w:b/>
          <w:bCs/>
          <w:sz w:val="24"/>
          <w:szCs w:val="24"/>
          <w:lang w:val="en-US"/>
        </w:rPr>
        <w:t>Place of the discipline in the Curriculum</w:t>
      </w:r>
      <w:r w:rsidRPr="004661BF">
        <w:rPr>
          <w:rFonts w:ascii="Times New Roman" w:hAnsi="Times New Roman"/>
          <w:b/>
          <w:bCs/>
          <w:sz w:val="24"/>
          <w:szCs w:val="24"/>
          <w:lang w:val="en-US"/>
        </w:rPr>
        <w:t>:</w:t>
      </w:r>
    </w:p>
    <w:p w:rsidR="00996609" w:rsidRPr="004661BF" w:rsidRDefault="00996609" w:rsidP="00996609">
      <w:pPr>
        <w:widowControl w:val="0"/>
        <w:shd w:val="clear" w:color="auto" w:fill="FFFFFF"/>
        <w:spacing w:after="0" w:line="240" w:lineRule="auto"/>
        <w:jc w:val="both"/>
        <w:rPr>
          <w:rFonts w:ascii="Times New Roman" w:hAnsi="Times New Roman"/>
          <w:sz w:val="24"/>
          <w:szCs w:val="24"/>
          <w:lang w:val="en-US"/>
        </w:rPr>
      </w:pPr>
      <w:r>
        <w:rPr>
          <w:rFonts w:ascii="Times New Roman" w:hAnsi="Times New Roman"/>
          <w:sz w:val="24"/>
          <w:szCs w:val="24"/>
          <w:lang w:val="en-US"/>
        </w:rPr>
        <w:t>The discipline is within the Basic component of the General Medicine Curriculum.</w:t>
      </w:r>
    </w:p>
    <w:p w:rsidR="00996609" w:rsidRPr="00417C45" w:rsidRDefault="00996609" w:rsidP="00996609">
      <w:pPr>
        <w:widowControl w:val="0"/>
        <w:spacing w:line="240" w:lineRule="auto"/>
        <w:ind w:firstLine="709"/>
        <w:contextualSpacing/>
        <w:jc w:val="both"/>
        <w:rPr>
          <w:rFonts w:ascii="Times New Roman" w:hAnsi="Times New Roman"/>
          <w:sz w:val="24"/>
          <w:szCs w:val="24"/>
          <w:u w:val="single"/>
          <w:lang w:val="en-US"/>
        </w:rPr>
      </w:pPr>
    </w:p>
    <w:p w:rsidR="00E47C66" w:rsidRPr="00996609" w:rsidRDefault="00996609" w:rsidP="00996609">
      <w:pPr>
        <w:widowControl w:val="0"/>
        <w:shd w:val="clear" w:color="auto" w:fill="FFFFFF"/>
        <w:spacing w:after="0" w:line="240" w:lineRule="auto"/>
        <w:jc w:val="both"/>
        <w:rPr>
          <w:rFonts w:ascii="Times New Roman" w:hAnsi="Times New Roman"/>
          <w:b/>
          <w:sz w:val="24"/>
          <w:szCs w:val="24"/>
          <w:lang w:val="en-US"/>
        </w:rPr>
      </w:pPr>
      <w:r>
        <w:rPr>
          <w:rFonts w:ascii="Times New Roman" w:hAnsi="Times New Roman"/>
          <w:b/>
          <w:sz w:val="24"/>
          <w:szCs w:val="24"/>
          <w:lang w:val="en-US"/>
        </w:rPr>
        <w:t>Structure and contents of the discipline</w:t>
      </w:r>
      <w:r w:rsidRPr="00A72F89">
        <w:rPr>
          <w:rFonts w:ascii="Times New Roman" w:hAnsi="Times New Roman"/>
          <w:b/>
          <w:sz w:val="24"/>
          <w:szCs w:val="24"/>
          <w:lang w:val="en-US"/>
        </w:rPr>
        <w:t>:</w:t>
      </w:r>
    </w:p>
    <w:p w:rsidR="0056346C" w:rsidRPr="00996609" w:rsidRDefault="0056346C" w:rsidP="006D5C50">
      <w:pPr>
        <w:widowControl w:val="0"/>
        <w:shd w:val="clear" w:color="auto" w:fill="FFFFFF"/>
        <w:spacing w:after="0" w:line="240" w:lineRule="auto"/>
        <w:jc w:val="both"/>
        <w:rPr>
          <w:rFonts w:ascii="Times New Roman" w:hAnsi="Times New Roman"/>
          <w:b/>
          <w:sz w:val="24"/>
          <w:szCs w:val="24"/>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521"/>
      </w:tblGrid>
      <w:tr w:rsidR="00E47C66" w:rsidRPr="00996609" w:rsidTr="0056346C">
        <w:tc>
          <w:tcPr>
            <w:tcW w:w="3085" w:type="dxa"/>
            <w:shd w:val="clear" w:color="auto" w:fill="auto"/>
            <w:vAlign w:val="center"/>
          </w:tcPr>
          <w:p w:rsidR="00E47C66" w:rsidRPr="00996609" w:rsidRDefault="00996609" w:rsidP="00996609">
            <w:pPr>
              <w:widowControl w:val="0"/>
              <w:spacing w:after="0" w:line="240" w:lineRule="auto"/>
              <w:jc w:val="both"/>
              <w:rPr>
                <w:rFonts w:ascii="Times New Roman" w:hAnsi="Times New Roman"/>
                <w:sz w:val="24"/>
                <w:szCs w:val="24"/>
                <w:lang w:val="en-US"/>
              </w:rPr>
            </w:pPr>
            <w:r>
              <w:rPr>
                <w:rFonts w:ascii="Times New Roman" w:hAnsi="Times New Roman"/>
                <w:bCs/>
                <w:sz w:val="24"/>
                <w:szCs w:val="24"/>
                <w:lang w:val="en-US"/>
              </w:rPr>
              <w:t>Name of the section of the discipline</w:t>
            </w:r>
          </w:p>
        </w:tc>
        <w:tc>
          <w:tcPr>
            <w:tcW w:w="6521" w:type="dxa"/>
            <w:shd w:val="clear" w:color="auto" w:fill="auto"/>
            <w:vAlign w:val="center"/>
          </w:tcPr>
          <w:p w:rsidR="00E47C66" w:rsidRPr="00996609" w:rsidRDefault="00996609" w:rsidP="006D5C50">
            <w:pPr>
              <w:widowControl w:val="0"/>
              <w:spacing w:after="0" w:line="240" w:lineRule="auto"/>
              <w:jc w:val="both"/>
              <w:rPr>
                <w:rFonts w:ascii="Times New Roman" w:hAnsi="Times New Roman"/>
                <w:sz w:val="24"/>
                <w:szCs w:val="24"/>
                <w:lang w:val="en-US"/>
              </w:rPr>
            </w:pPr>
            <w:r>
              <w:rPr>
                <w:rFonts w:ascii="Times New Roman" w:hAnsi="Times New Roman"/>
                <w:bCs/>
                <w:sz w:val="24"/>
                <w:szCs w:val="24"/>
                <w:lang w:val="en-US"/>
              </w:rPr>
              <w:t>Contents of the section of the discipline</w:t>
            </w:r>
          </w:p>
        </w:tc>
      </w:tr>
      <w:tr w:rsidR="00E47C66" w:rsidRPr="00996609" w:rsidTr="0056346C">
        <w:tc>
          <w:tcPr>
            <w:tcW w:w="3085"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Pr>
                <w:rFonts w:ascii="Times New Roman" w:hAnsi="Times New Roman"/>
                <w:bCs/>
                <w:sz w:val="24"/>
                <w:szCs w:val="24"/>
                <w:lang w:val="en-US"/>
              </w:rPr>
              <w:t>Cardiovascular diseases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Cardiac rhythm disturbances, Cardiomyopathy (ILC), Options for the course and treatment of coronary heart disease, Cardiac conduction disorders, Options for the course and treatment of chronic heart failure, Pericarditis, Myocarditis, Congenital heart defects in adults (CHD), Pulmonary hypertension and pulmonary heart syndrome, Acute heart failure, Diagnostic search for cardialgia, Thromboembolism of the pulmonary artery, Diagnostic search for arterial hypertension, Diagnostic search for coma, Diagnosis and treatment of hypertonic Crises, Diagnostic Search for Syncopal Conditions</w:t>
            </w:r>
            <w:bookmarkStart w:id="0" w:name="_GoBack"/>
            <w:bookmarkEnd w:id="0"/>
          </w:p>
        </w:tc>
      </w:tr>
      <w:tr w:rsidR="00E47C66" w:rsidRPr="00996609" w:rsidTr="0056346C">
        <w:tc>
          <w:tcPr>
            <w:tcW w:w="3085"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Pr>
                <w:rFonts w:ascii="Times New Roman" w:hAnsi="Times New Roman"/>
                <w:sz w:val="24"/>
                <w:szCs w:val="24"/>
                <w:lang w:val="en-US"/>
              </w:rPr>
              <w:t>Respiratory diseases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Course and treatment of chronic obstructive pulmonary disease (COPD), Diagnosis and treatment of nosocomial pneumonia, Interstitial lung disease (IBL), Diagnostic search for bronchial conductivity syndrome, Differential diagnosis and treatment of pneumonia</w:t>
            </w:r>
          </w:p>
        </w:tc>
      </w:tr>
      <w:tr w:rsidR="00E47C66" w:rsidRPr="00996609" w:rsidTr="0056346C">
        <w:tc>
          <w:tcPr>
            <w:tcW w:w="3085" w:type="dxa"/>
            <w:shd w:val="clear" w:color="auto" w:fill="auto"/>
          </w:tcPr>
          <w:p w:rsidR="00E47C66" w:rsidRPr="006D5C50" w:rsidRDefault="00996609" w:rsidP="006D5C50">
            <w:pPr>
              <w:widowControl w:val="0"/>
              <w:spacing w:after="0" w:line="240" w:lineRule="auto"/>
              <w:jc w:val="both"/>
              <w:rPr>
                <w:rFonts w:ascii="Times New Roman" w:hAnsi="Times New Roman"/>
                <w:bCs/>
                <w:sz w:val="24"/>
                <w:szCs w:val="24"/>
              </w:rPr>
            </w:pPr>
            <w:r w:rsidRPr="00996609">
              <w:rPr>
                <w:rFonts w:ascii="Times New Roman" w:hAnsi="Times New Roman"/>
                <w:sz w:val="24"/>
                <w:szCs w:val="24"/>
              </w:rPr>
              <w:t>Hematological diseases</w:t>
            </w:r>
          </w:p>
        </w:tc>
        <w:tc>
          <w:tcPr>
            <w:tcW w:w="6521" w:type="dxa"/>
            <w:shd w:val="clear" w:color="auto" w:fill="auto"/>
          </w:tcPr>
          <w:p w:rsidR="00E47C66" w:rsidRPr="00996609" w:rsidRDefault="00996609" w:rsidP="00996609">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 xml:space="preserve">Multiple myeloma, hemolytic anemia, acute leukemia, </w:t>
            </w:r>
            <w:r w:rsidRPr="00996609">
              <w:rPr>
                <w:rFonts w:ascii="Times New Roman" w:hAnsi="Times New Roman"/>
                <w:sz w:val="24"/>
                <w:szCs w:val="24"/>
                <w:lang w:val="en-US"/>
              </w:rPr>
              <w:lastRenderedPageBreak/>
              <w:t xml:space="preserve">myeloproliferative disorders, lymphoproliferative disorders, disorders of the blood </w:t>
            </w:r>
            <w:r>
              <w:rPr>
                <w:rFonts w:ascii="Times New Roman" w:hAnsi="Times New Roman"/>
                <w:sz w:val="24"/>
                <w:szCs w:val="24"/>
                <w:lang w:val="en-US"/>
              </w:rPr>
              <w:t>clotting</w:t>
            </w:r>
            <w:r w:rsidRPr="00996609">
              <w:rPr>
                <w:rFonts w:ascii="Times New Roman" w:hAnsi="Times New Roman"/>
                <w:sz w:val="24"/>
                <w:szCs w:val="24"/>
                <w:lang w:val="en-US"/>
              </w:rPr>
              <w:t xml:space="preserve">, Diagnostic </w:t>
            </w:r>
            <w:r>
              <w:rPr>
                <w:rFonts w:ascii="Times New Roman" w:hAnsi="Times New Roman"/>
                <w:sz w:val="24"/>
                <w:szCs w:val="24"/>
                <w:lang w:val="en-US"/>
              </w:rPr>
              <w:t>study</w:t>
            </w:r>
            <w:r w:rsidRPr="00996609">
              <w:rPr>
                <w:rFonts w:ascii="Times New Roman" w:hAnsi="Times New Roman"/>
                <w:sz w:val="24"/>
                <w:szCs w:val="24"/>
                <w:lang w:val="en-US"/>
              </w:rPr>
              <w:t xml:space="preserve"> for anemia of unknown origin, diagnostic search for fever of unknown origin, thrombolytic and anticoagulation therapy, diagnostic </w:t>
            </w:r>
            <w:r>
              <w:rPr>
                <w:rFonts w:ascii="Times New Roman" w:hAnsi="Times New Roman"/>
                <w:sz w:val="24"/>
                <w:szCs w:val="24"/>
                <w:lang w:val="en-US"/>
              </w:rPr>
              <w:t>study</w:t>
            </w:r>
            <w:r w:rsidRPr="00996609">
              <w:rPr>
                <w:rFonts w:ascii="Times New Roman" w:hAnsi="Times New Roman"/>
                <w:sz w:val="24"/>
                <w:szCs w:val="24"/>
                <w:lang w:val="en-US"/>
              </w:rPr>
              <w:t xml:space="preserve"> with splenomegaly, lymp</w:t>
            </w:r>
            <w:r>
              <w:rPr>
                <w:rFonts w:ascii="Times New Roman" w:hAnsi="Times New Roman"/>
                <w:sz w:val="24"/>
                <w:szCs w:val="24"/>
                <w:lang w:val="en-US"/>
              </w:rPr>
              <w:t>hadenopathy diagnostic study</w:t>
            </w:r>
          </w:p>
        </w:tc>
      </w:tr>
      <w:tr w:rsidR="00E47C66" w:rsidRPr="00996609" w:rsidTr="0056346C">
        <w:tc>
          <w:tcPr>
            <w:tcW w:w="3085"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lastRenderedPageBreak/>
              <w:t>Diseases of the gastrointestinal tract</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Crohn's disease; nonspecific ulcerative colitis (UC), diseases of the esophagogastroduodenal region, liver damage of drug origin, damage to the internal organs during alcoholism, diagnostic search for gastric dyspepsia syndrome, diagnostic search for intestinal dyspepsia syndrome, diagnostic jaundice search, diagnostic hepatomegaly search</w:t>
            </w:r>
          </w:p>
        </w:tc>
      </w:tr>
      <w:tr w:rsidR="00E47C66" w:rsidRPr="00996609" w:rsidTr="0056346C">
        <w:tc>
          <w:tcPr>
            <w:tcW w:w="3085" w:type="dxa"/>
            <w:shd w:val="clear" w:color="auto" w:fill="auto"/>
          </w:tcPr>
          <w:p w:rsidR="00E47C66" w:rsidRPr="006D5C50" w:rsidRDefault="00996609" w:rsidP="006D5C50">
            <w:pPr>
              <w:widowControl w:val="0"/>
              <w:spacing w:after="0" w:line="240" w:lineRule="auto"/>
              <w:jc w:val="both"/>
              <w:rPr>
                <w:rFonts w:ascii="Times New Roman" w:hAnsi="Times New Roman"/>
                <w:bCs/>
                <w:sz w:val="24"/>
                <w:szCs w:val="24"/>
              </w:rPr>
            </w:pPr>
            <w:r w:rsidRPr="00996609">
              <w:rPr>
                <w:rFonts w:ascii="Times New Roman" w:hAnsi="Times New Roman"/>
                <w:sz w:val="24"/>
                <w:szCs w:val="24"/>
              </w:rPr>
              <w:t>Rheumatological diseases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Osteoarthritis, Gout, Diffuse connective tissue diseases (DZST), Systemic vasculitis, Diagnostic search for articular syndrome</w:t>
            </w:r>
          </w:p>
        </w:tc>
      </w:tr>
      <w:tr w:rsidR="00E47C66" w:rsidRPr="00996609" w:rsidTr="0056346C">
        <w:tc>
          <w:tcPr>
            <w:tcW w:w="3085"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rPr>
              <w:t>Kidney disease</w:t>
            </w:r>
            <w:r>
              <w:rPr>
                <w:rFonts w:ascii="Times New Roman" w:hAnsi="Times New Roman"/>
                <w:sz w:val="24"/>
                <w:szCs w:val="24"/>
                <w:lang w:val="en-US"/>
              </w:rPr>
              <w:t>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Chronic glomerulonephritis, Chronic pyelonephritis, Nephrotic syndrome, Chronic renal failure (CRF), Modular unit: "Diagnostic search for urinary syndrome</w:t>
            </w:r>
          </w:p>
        </w:tc>
      </w:tr>
      <w:tr w:rsidR="00E47C66" w:rsidRPr="00996609" w:rsidTr="0056346C">
        <w:tc>
          <w:tcPr>
            <w:tcW w:w="3085"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Conducting drug therapy in the clinic of internal diseases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sz w:val="24"/>
                <w:szCs w:val="24"/>
                <w:lang w:val="en-US"/>
              </w:rPr>
              <w:t>Antibacterial therapy in the clinic of internal diseases, Anti-inflammatory and immunosuppressive therapy in the clinic of internal diseases, Anaphylaxis shock diagnosis and treatment</w:t>
            </w:r>
          </w:p>
        </w:tc>
      </w:tr>
      <w:tr w:rsidR="00E47C66" w:rsidRPr="00996609" w:rsidTr="0056346C">
        <w:tc>
          <w:tcPr>
            <w:tcW w:w="3085" w:type="dxa"/>
            <w:shd w:val="clear" w:color="auto" w:fill="auto"/>
          </w:tcPr>
          <w:p w:rsidR="00E47C66" w:rsidRPr="006D5C50" w:rsidRDefault="00996609" w:rsidP="006D5C50">
            <w:pPr>
              <w:widowControl w:val="0"/>
              <w:spacing w:after="0" w:line="240" w:lineRule="auto"/>
              <w:jc w:val="both"/>
              <w:rPr>
                <w:rFonts w:ascii="Times New Roman" w:hAnsi="Times New Roman"/>
                <w:bCs/>
                <w:sz w:val="24"/>
                <w:szCs w:val="24"/>
              </w:rPr>
            </w:pPr>
            <w:r w:rsidRPr="00996609">
              <w:rPr>
                <w:rFonts w:ascii="Times New Roman" w:hAnsi="Times New Roman"/>
                <w:bCs/>
                <w:sz w:val="24"/>
                <w:szCs w:val="24"/>
              </w:rPr>
              <w:t>Endocrine Diseases</w:t>
            </w:r>
          </w:p>
        </w:tc>
        <w:tc>
          <w:tcPr>
            <w:tcW w:w="6521" w:type="dxa"/>
            <w:shd w:val="clear" w:color="auto" w:fill="auto"/>
          </w:tcPr>
          <w:p w:rsidR="00E47C66" w:rsidRPr="00996609" w:rsidRDefault="00996609" w:rsidP="006D5C50">
            <w:pPr>
              <w:widowControl w:val="0"/>
              <w:spacing w:after="0" w:line="240" w:lineRule="auto"/>
              <w:jc w:val="both"/>
              <w:rPr>
                <w:rFonts w:ascii="Times New Roman" w:hAnsi="Times New Roman"/>
                <w:bCs/>
                <w:sz w:val="24"/>
                <w:szCs w:val="24"/>
                <w:lang w:val="en-US"/>
              </w:rPr>
            </w:pPr>
            <w:r w:rsidRPr="00996609">
              <w:rPr>
                <w:rFonts w:ascii="Times New Roman" w:hAnsi="Times New Roman"/>
                <w:bCs/>
                <w:sz w:val="24"/>
                <w:szCs w:val="24"/>
                <w:lang w:val="en-US"/>
              </w:rPr>
              <w:t>Diabetes mellitus, Chronic thyroiditis, adrenal gland diseases</w:t>
            </w:r>
          </w:p>
        </w:tc>
      </w:tr>
    </w:tbl>
    <w:p w:rsidR="00B8172C" w:rsidRPr="00996609" w:rsidRDefault="00B8172C" w:rsidP="006D5C50">
      <w:pPr>
        <w:tabs>
          <w:tab w:val="num" w:pos="1080"/>
        </w:tabs>
        <w:spacing w:line="480" w:lineRule="auto"/>
        <w:jc w:val="both"/>
        <w:rPr>
          <w:rFonts w:ascii="Times New Roman" w:hAnsi="Times New Roman"/>
          <w:sz w:val="24"/>
          <w:szCs w:val="24"/>
          <w:lang w:val="en-US"/>
        </w:rPr>
      </w:pPr>
    </w:p>
    <w:sectPr w:rsidR="00B8172C" w:rsidRPr="00996609" w:rsidSect="00B817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217" w:rsidRDefault="00D04217" w:rsidP="00E47C66">
      <w:pPr>
        <w:spacing w:after="0" w:line="240" w:lineRule="auto"/>
      </w:pPr>
      <w:r>
        <w:separator/>
      </w:r>
    </w:p>
  </w:endnote>
  <w:endnote w:type="continuationSeparator" w:id="0">
    <w:p w:rsidR="00D04217" w:rsidRDefault="00D04217" w:rsidP="00E47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_AntiqueTradyBrk">
    <w:altName w:val="Times New Roman"/>
    <w:charset w:val="CC"/>
    <w:family w:val="roman"/>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217" w:rsidRDefault="00D04217" w:rsidP="00E47C66">
      <w:pPr>
        <w:spacing w:after="0" w:line="240" w:lineRule="auto"/>
      </w:pPr>
      <w:r>
        <w:separator/>
      </w:r>
    </w:p>
  </w:footnote>
  <w:footnote w:type="continuationSeparator" w:id="0">
    <w:p w:rsidR="00D04217" w:rsidRDefault="00D04217" w:rsidP="00E47C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D33264"/>
    <w:multiLevelType w:val="multilevel"/>
    <w:tmpl w:val="A2562FFE"/>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right"/>
      <w:pPr>
        <w:tabs>
          <w:tab w:val="num" w:pos="3175"/>
        </w:tabs>
        <w:ind w:left="3175" w:hanging="283"/>
      </w:pPr>
      <w:rPr>
        <w:rFonts w:hint="default"/>
      </w:rPr>
    </w:lvl>
    <w:lvl w:ilvl="3">
      <w:start w:val="1"/>
      <w:numFmt w:val="decimal"/>
      <w:lvlText w:val="%1.%2.%3.%4."/>
      <w:lvlJc w:val="left"/>
      <w:pPr>
        <w:tabs>
          <w:tab w:val="num" w:pos="5103"/>
        </w:tabs>
        <w:ind w:left="5103" w:hanging="2211"/>
      </w:pPr>
      <w:rPr>
        <w:rFonts w:hint="default"/>
      </w:rPr>
    </w:lvl>
    <w:lvl w:ilvl="4">
      <w:start w:val="1"/>
      <w:numFmt w:val="decimal"/>
      <w:lvlText w:val="%1.%2.%3.%4.%5."/>
      <w:lvlJc w:val="left"/>
      <w:pPr>
        <w:tabs>
          <w:tab w:val="num" w:pos="7825"/>
        </w:tabs>
        <w:ind w:left="7825" w:hanging="272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5B5B0981"/>
    <w:multiLevelType w:val="multilevel"/>
    <w:tmpl w:val="B4244B76"/>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66"/>
    <w:rsid w:val="0010604F"/>
    <w:rsid w:val="001B23FB"/>
    <w:rsid w:val="001B3B31"/>
    <w:rsid w:val="001F26D7"/>
    <w:rsid w:val="00207F35"/>
    <w:rsid w:val="0022155A"/>
    <w:rsid w:val="00232DCC"/>
    <w:rsid w:val="002A590B"/>
    <w:rsid w:val="002C3941"/>
    <w:rsid w:val="00302254"/>
    <w:rsid w:val="00302E9F"/>
    <w:rsid w:val="00322282"/>
    <w:rsid w:val="00416848"/>
    <w:rsid w:val="00427F7C"/>
    <w:rsid w:val="00430102"/>
    <w:rsid w:val="004318BC"/>
    <w:rsid w:val="004468A4"/>
    <w:rsid w:val="00476DA4"/>
    <w:rsid w:val="004D14D3"/>
    <w:rsid w:val="00555744"/>
    <w:rsid w:val="0056346C"/>
    <w:rsid w:val="005938A5"/>
    <w:rsid w:val="00644F69"/>
    <w:rsid w:val="006D513B"/>
    <w:rsid w:val="006D5C50"/>
    <w:rsid w:val="0075193E"/>
    <w:rsid w:val="00772DAC"/>
    <w:rsid w:val="007852D4"/>
    <w:rsid w:val="007E302A"/>
    <w:rsid w:val="00815984"/>
    <w:rsid w:val="008467C6"/>
    <w:rsid w:val="008952AB"/>
    <w:rsid w:val="008D4FB5"/>
    <w:rsid w:val="00913F69"/>
    <w:rsid w:val="00946DBB"/>
    <w:rsid w:val="00996609"/>
    <w:rsid w:val="00A5664C"/>
    <w:rsid w:val="00A95125"/>
    <w:rsid w:val="00AE4668"/>
    <w:rsid w:val="00B12B93"/>
    <w:rsid w:val="00B31D90"/>
    <w:rsid w:val="00B8172C"/>
    <w:rsid w:val="00B956F4"/>
    <w:rsid w:val="00C11115"/>
    <w:rsid w:val="00C12138"/>
    <w:rsid w:val="00C52CC9"/>
    <w:rsid w:val="00C64CC2"/>
    <w:rsid w:val="00C6638E"/>
    <w:rsid w:val="00CB078D"/>
    <w:rsid w:val="00CB6DC0"/>
    <w:rsid w:val="00CB7C61"/>
    <w:rsid w:val="00CF7119"/>
    <w:rsid w:val="00D04217"/>
    <w:rsid w:val="00D069F6"/>
    <w:rsid w:val="00D2129C"/>
    <w:rsid w:val="00D356BA"/>
    <w:rsid w:val="00D95F7D"/>
    <w:rsid w:val="00DC615B"/>
    <w:rsid w:val="00E47C66"/>
    <w:rsid w:val="00E90486"/>
    <w:rsid w:val="00E96255"/>
    <w:rsid w:val="00F13164"/>
    <w:rsid w:val="00F17A4E"/>
    <w:rsid w:val="00F5171A"/>
    <w:rsid w:val="00F5576B"/>
    <w:rsid w:val="00F75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35372-1646-47FA-8B8E-29883383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C66"/>
    <w:pPr>
      <w:tabs>
        <w:tab w:val="left" w:pos="708"/>
      </w:tabs>
      <w:spacing w:after="200" w:line="276" w:lineRule="auto"/>
    </w:pPr>
    <w:rPr>
      <w:rFonts w:ascii="Calibri" w:eastAsia="Times New Roman" w:hAnsi="Calibri"/>
      <w:sz w:val="22"/>
      <w:szCs w:val="22"/>
      <w:lang w:eastAsia="en-US"/>
    </w:rPr>
  </w:style>
  <w:style w:type="paragraph" w:styleId="3">
    <w:name w:val="heading 3"/>
    <w:basedOn w:val="a"/>
    <w:next w:val="a"/>
    <w:link w:val="30"/>
    <w:autoRedefine/>
    <w:qFormat/>
    <w:rsid w:val="00E47C66"/>
    <w:pPr>
      <w:keepLines/>
      <w:numPr>
        <w:ilvl w:val="2"/>
        <w:numId w:val="1"/>
      </w:numPr>
      <w:tabs>
        <w:tab w:val="clear" w:pos="708"/>
      </w:tabs>
      <w:spacing w:before="240" w:after="60" w:line="240" w:lineRule="auto"/>
      <w:ind w:left="0" w:firstLine="0"/>
      <w:jc w:val="center"/>
      <w:outlineLvl w:val="2"/>
    </w:pPr>
    <w:rPr>
      <w:rFonts w:ascii="a_AntiqueTradyBrk" w:eastAsia="Arial Unicode MS" w:hAnsi="a_AntiqueTradyBrk"/>
      <w:cap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47C66"/>
    <w:rPr>
      <w:rFonts w:ascii="a_AntiqueTradyBrk" w:eastAsia="Arial Unicode MS" w:hAnsi="a_AntiqueTradyBrk"/>
      <w:caps/>
      <w:lang w:eastAsia="ru-RU"/>
    </w:rPr>
  </w:style>
  <w:style w:type="paragraph" w:styleId="a3">
    <w:name w:val="footnote text"/>
    <w:basedOn w:val="a"/>
    <w:link w:val="a4"/>
    <w:semiHidden/>
    <w:rsid w:val="00E47C66"/>
    <w:pPr>
      <w:tabs>
        <w:tab w:val="clear" w:pos="708"/>
      </w:tabs>
      <w:spacing w:after="0" w:line="312" w:lineRule="auto"/>
      <w:ind w:firstLine="709"/>
      <w:jc w:val="both"/>
    </w:pPr>
    <w:rPr>
      <w:rFonts w:ascii="Times New Roman" w:hAnsi="Times New Roman"/>
      <w:sz w:val="20"/>
      <w:szCs w:val="20"/>
      <w:lang w:val="x-none" w:eastAsia="ru-RU"/>
    </w:rPr>
  </w:style>
  <w:style w:type="character" w:customStyle="1" w:styleId="a4">
    <w:name w:val="Текст сноски Знак"/>
    <w:link w:val="a3"/>
    <w:semiHidden/>
    <w:rsid w:val="00E47C66"/>
    <w:rPr>
      <w:rFonts w:eastAsia="Times New Roman"/>
      <w:sz w:val="20"/>
      <w:szCs w:val="20"/>
      <w:lang w:eastAsia="ru-RU"/>
    </w:rPr>
  </w:style>
  <w:style w:type="paragraph" w:styleId="a5">
    <w:name w:val="header"/>
    <w:basedOn w:val="a"/>
    <w:link w:val="a6"/>
    <w:uiPriority w:val="99"/>
    <w:semiHidden/>
    <w:unhideWhenUsed/>
    <w:rsid w:val="0056346C"/>
    <w:pPr>
      <w:tabs>
        <w:tab w:val="clear" w:pos="708"/>
        <w:tab w:val="center" w:pos="4677"/>
        <w:tab w:val="right" w:pos="9355"/>
      </w:tabs>
    </w:pPr>
    <w:rPr>
      <w:lang w:val="x-none"/>
    </w:rPr>
  </w:style>
  <w:style w:type="character" w:customStyle="1" w:styleId="a6">
    <w:name w:val="Верхний колонтитул Знак"/>
    <w:link w:val="a5"/>
    <w:uiPriority w:val="99"/>
    <w:semiHidden/>
    <w:rsid w:val="0056346C"/>
    <w:rPr>
      <w:rFonts w:ascii="Calibri" w:eastAsia="Times New Roman" w:hAnsi="Calibri"/>
      <w:sz w:val="22"/>
      <w:szCs w:val="22"/>
      <w:lang w:eastAsia="en-US"/>
    </w:rPr>
  </w:style>
  <w:style w:type="paragraph" w:styleId="a7">
    <w:name w:val="footer"/>
    <w:basedOn w:val="a"/>
    <w:link w:val="a8"/>
    <w:uiPriority w:val="99"/>
    <w:semiHidden/>
    <w:unhideWhenUsed/>
    <w:rsid w:val="0056346C"/>
    <w:pPr>
      <w:tabs>
        <w:tab w:val="clear" w:pos="708"/>
        <w:tab w:val="center" w:pos="4677"/>
        <w:tab w:val="right" w:pos="9355"/>
      </w:tabs>
    </w:pPr>
    <w:rPr>
      <w:lang w:val="x-none"/>
    </w:rPr>
  </w:style>
  <w:style w:type="character" w:customStyle="1" w:styleId="a8">
    <w:name w:val="Нижний колонтитул Знак"/>
    <w:link w:val="a7"/>
    <w:uiPriority w:val="99"/>
    <w:semiHidden/>
    <w:rsid w:val="0056346C"/>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233638">
      <w:bodyDiv w:val="1"/>
      <w:marLeft w:val="0"/>
      <w:marRight w:val="0"/>
      <w:marTop w:val="0"/>
      <w:marBottom w:val="0"/>
      <w:divBdr>
        <w:top w:val="none" w:sz="0" w:space="0" w:color="auto"/>
        <w:left w:val="none" w:sz="0" w:space="0" w:color="auto"/>
        <w:bottom w:val="none" w:sz="0" w:space="0" w:color="auto"/>
        <w:right w:val="none" w:sz="0" w:space="0" w:color="auto"/>
      </w:divBdr>
    </w:div>
    <w:div w:id="1792243220">
      <w:bodyDiv w:val="1"/>
      <w:marLeft w:val="0"/>
      <w:marRight w:val="0"/>
      <w:marTop w:val="0"/>
      <w:marBottom w:val="0"/>
      <w:divBdr>
        <w:top w:val="none" w:sz="0" w:space="0" w:color="auto"/>
        <w:left w:val="none" w:sz="0" w:space="0" w:color="auto"/>
        <w:bottom w:val="none" w:sz="0" w:space="0" w:color="auto"/>
        <w:right w:val="none" w:sz="0" w:space="0" w:color="auto"/>
      </w:divBdr>
    </w:div>
    <w:div w:id="185410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podchernyaeva_n_s</dc:creator>
  <cp:keywords/>
  <cp:lastModifiedBy>Игорь Луньков</cp:lastModifiedBy>
  <cp:revision>2</cp:revision>
  <dcterms:created xsi:type="dcterms:W3CDTF">2019-05-07T07:24:00Z</dcterms:created>
  <dcterms:modified xsi:type="dcterms:W3CDTF">2019-05-07T07:24:00Z</dcterms:modified>
</cp:coreProperties>
</file>